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0" w:type="dxa"/>
          <w:right w:w="0" w:type="dxa"/>
        </w:tblCellMar>
        <w:tblLook w:val="0000" w:firstRow="0" w:lastRow="0" w:firstColumn="0" w:lastColumn="0" w:noHBand="0" w:noVBand="0"/>
      </w:tblPr>
      <w:tblGrid>
        <w:gridCol w:w="8640"/>
      </w:tblGrid>
      <w:tr w:rsidR="003F2F8E" w:rsidRPr="00FB35F7">
        <w:tblPrEx>
          <w:tblCellMar>
            <w:top w:w="0" w:type="dxa"/>
            <w:left w:w="0" w:type="dxa"/>
            <w:bottom w:w="0" w:type="dxa"/>
            <w:right w:w="0" w:type="dxa"/>
          </w:tblCellMar>
        </w:tblPrEx>
        <w:trPr>
          <w:cantSplit/>
        </w:trPr>
        <w:tc>
          <w:tcPr>
            <w:tcW w:w="8640" w:type="dxa"/>
            <w:tcBorders>
              <w:top w:val="single" w:sz="6" w:space="0" w:color="auto"/>
              <w:left w:val="single" w:sz="6" w:space="0" w:color="auto"/>
              <w:bottom w:val="single" w:sz="6" w:space="0" w:color="auto"/>
              <w:right w:val="single" w:sz="6" w:space="0" w:color="auto"/>
            </w:tcBorders>
            <w:shd w:val="pct5" w:color="000000" w:fill="FFFFFF"/>
          </w:tcPr>
          <w:p w:rsidR="003F2F8E" w:rsidRPr="00FB35F7" w:rsidRDefault="003F2F8E" w:rsidP="003F2F8E">
            <w:pPr>
              <w:pStyle w:val="Corpotesto"/>
              <w:spacing w:before="0" w:after="0"/>
              <w:rPr>
                <w:rFonts w:ascii="Times New Roman" w:hAnsi="Times New Roman"/>
                <w:sz w:val="48"/>
                <w:szCs w:val="48"/>
              </w:rPr>
            </w:pPr>
            <w:bookmarkStart w:id="0" w:name="_GoBack"/>
            <w:bookmarkEnd w:id="0"/>
          </w:p>
          <w:p w:rsidR="003F2F8E" w:rsidRPr="00FB35F7" w:rsidRDefault="003F2F8E" w:rsidP="003F2F8E">
            <w:pPr>
              <w:pStyle w:val="Corpotesto"/>
              <w:spacing w:before="0" w:after="0"/>
              <w:rPr>
                <w:rFonts w:ascii="Times New Roman" w:hAnsi="Times New Roman"/>
                <w:sz w:val="48"/>
                <w:szCs w:val="48"/>
              </w:rPr>
            </w:pPr>
          </w:p>
          <w:p w:rsidR="003F2F8E" w:rsidRPr="00FB35F7" w:rsidRDefault="003F2F8E">
            <w:pPr>
              <w:widowControl w:val="0"/>
              <w:ind w:firstLine="0"/>
              <w:jc w:val="center"/>
              <w:rPr>
                <w:rFonts w:ascii="Times New Roman" w:hAnsi="Times New Roman" w:cs="Times"/>
                <w:bCs/>
                <w:color w:val="800000"/>
                <w:sz w:val="48"/>
                <w:szCs w:val="80"/>
              </w:rPr>
            </w:pPr>
            <w:r w:rsidRPr="00FB35F7">
              <w:rPr>
                <w:rFonts w:ascii="Times New Roman" w:hAnsi="Times New Roman" w:cs="Times"/>
                <w:bCs/>
                <w:color w:val="800000"/>
                <w:sz w:val="48"/>
                <w:szCs w:val="80"/>
              </w:rPr>
              <w:t>Émile Durkheim</w:t>
            </w:r>
          </w:p>
          <w:p w:rsidR="003F2F8E" w:rsidRPr="00FB35F7" w:rsidRDefault="003F2F8E">
            <w:pPr>
              <w:widowControl w:val="0"/>
              <w:ind w:firstLine="0"/>
              <w:jc w:val="center"/>
              <w:rPr>
                <w:rFonts w:ascii="Times New Roman" w:hAnsi="Times New Roman" w:cs="Times"/>
              </w:rPr>
            </w:pPr>
          </w:p>
          <w:p w:rsidR="003F2F8E" w:rsidRPr="00FB35F7" w:rsidRDefault="003F2F8E">
            <w:pPr>
              <w:widowControl w:val="0"/>
              <w:ind w:firstLine="0"/>
              <w:jc w:val="center"/>
              <w:rPr>
                <w:rFonts w:ascii="Times New Roman" w:hAnsi="Times New Roman" w:cs="Times"/>
              </w:rPr>
            </w:pPr>
          </w:p>
          <w:p w:rsidR="003F2F8E" w:rsidRPr="00FB35F7" w:rsidRDefault="003F2F8E">
            <w:pPr>
              <w:widowControl w:val="0"/>
              <w:ind w:firstLine="0"/>
              <w:jc w:val="center"/>
              <w:rPr>
                <w:rFonts w:ascii="Times New Roman" w:hAnsi="Times New Roman" w:cs="Times"/>
              </w:rPr>
            </w:pPr>
          </w:p>
          <w:p w:rsidR="003F2F8E" w:rsidRPr="00FB35F7" w:rsidRDefault="003F2F8E">
            <w:pPr>
              <w:widowControl w:val="0"/>
              <w:ind w:firstLine="0"/>
              <w:jc w:val="center"/>
              <w:rPr>
                <w:rFonts w:ascii="Times New Roman" w:hAnsi="Times New Roman" w:cs="Times"/>
                <w:b/>
                <w:bCs/>
                <w:sz w:val="64"/>
                <w:szCs w:val="64"/>
              </w:rPr>
            </w:pPr>
            <w:r w:rsidRPr="00FB35F7">
              <w:rPr>
                <w:rFonts w:ascii="Times New Roman" w:hAnsi="Times New Roman" w:cs="Times"/>
                <w:b/>
                <w:bCs/>
                <w:sz w:val="64"/>
                <w:szCs w:val="64"/>
              </w:rPr>
              <w:t>LES FORMES ÉLÉMENTAIRES</w:t>
            </w:r>
          </w:p>
          <w:p w:rsidR="003F2F8E" w:rsidRPr="00FB35F7" w:rsidRDefault="003F2F8E">
            <w:pPr>
              <w:widowControl w:val="0"/>
              <w:ind w:firstLine="0"/>
              <w:jc w:val="center"/>
              <w:rPr>
                <w:rFonts w:ascii="Times New Roman" w:hAnsi="Times New Roman" w:cs="Times"/>
              </w:rPr>
            </w:pPr>
            <w:r w:rsidRPr="00FB35F7">
              <w:rPr>
                <w:rFonts w:ascii="Times New Roman" w:hAnsi="Times New Roman" w:cs="Times"/>
                <w:b/>
                <w:bCs/>
                <w:sz w:val="64"/>
                <w:szCs w:val="64"/>
              </w:rPr>
              <w:t>DE LA VIE RELIGIEUSE</w:t>
            </w:r>
          </w:p>
          <w:p w:rsidR="003F2F8E" w:rsidRPr="00FB35F7" w:rsidRDefault="003F2F8E">
            <w:pPr>
              <w:widowControl w:val="0"/>
              <w:ind w:firstLine="0"/>
              <w:jc w:val="center"/>
              <w:rPr>
                <w:rFonts w:ascii="Times New Roman" w:hAnsi="Times New Roman" w:cs="Times"/>
                <w:color w:val="FF0000"/>
                <w:sz w:val="36"/>
                <w:szCs w:val="36"/>
              </w:rPr>
            </w:pPr>
            <w:r w:rsidRPr="00FB35F7">
              <w:rPr>
                <w:rFonts w:ascii="Times New Roman" w:hAnsi="Times New Roman" w:cs="Times"/>
                <w:color w:val="FF0000"/>
                <w:sz w:val="36"/>
                <w:szCs w:val="36"/>
              </w:rPr>
              <w:t>Le système totémique en Australie</w:t>
            </w:r>
          </w:p>
          <w:p w:rsidR="003F2F8E" w:rsidRPr="00FB35F7" w:rsidRDefault="003F2F8E">
            <w:pPr>
              <w:widowControl w:val="0"/>
              <w:ind w:firstLine="0"/>
              <w:jc w:val="center"/>
              <w:rPr>
                <w:rFonts w:ascii="Times New Roman" w:hAnsi="Times New Roman" w:cs="Times"/>
              </w:rPr>
            </w:pPr>
          </w:p>
          <w:p w:rsidR="003F2F8E" w:rsidRPr="00FB35F7" w:rsidRDefault="003F2F8E">
            <w:pPr>
              <w:widowControl w:val="0"/>
              <w:ind w:firstLine="0"/>
              <w:jc w:val="center"/>
              <w:rPr>
                <w:rFonts w:ascii="Times New Roman" w:hAnsi="Times New Roman" w:cs="Times"/>
              </w:rPr>
            </w:pPr>
          </w:p>
          <w:p w:rsidR="003F2F8E" w:rsidRPr="00FB35F7" w:rsidRDefault="003F2F8E">
            <w:pPr>
              <w:pStyle w:val="planche"/>
              <w:widowControl w:val="0"/>
              <w:rPr>
                <w:rFonts w:ascii="Times New Roman" w:hAnsi="Times New Roman"/>
              </w:rPr>
            </w:pPr>
            <w:r w:rsidRPr="00FB35F7">
              <w:rPr>
                <w:rFonts w:ascii="Times New Roman" w:hAnsi="Times New Roman"/>
              </w:rPr>
              <w:t>Livre III : Les principales attitudes rituelles</w:t>
            </w:r>
          </w:p>
          <w:p w:rsidR="003F2F8E" w:rsidRPr="00FB35F7" w:rsidRDefault="003F2F8E">
            <w:pPr>
              <w:widowControl w:val="0"/>
              <w:ind w:firstLine="0"/>
              <w:jc w:val="center"/>
              <w:rPr>
                <w:rFonts w:ascii="Times New Roman" w:hAnsi="Times New Roman" w:cs="Times"/>
              </w:rPr>
            </w:pPr>
          </w:p>
          <w:p w:rsidR="003F2F8E" w:rsidRPr="00FB35F7" w:rsidRDefault="003F2F8E">
            <w:pPr>
              <w:widowControl w:val="0"/>
              <w:ind w:firstLine="0"/>
              <w:jc w:val="center"/>
              <w:rPr>
                <w:rFonts w:ascii="Times New Roman" w:hAnsi="Times New Roman" w:cs="Times"/>
                <w:b/>
                <w:bCs/>
              </w:rPr>
            </w:pPr>
            <w:r w:rsidRPr="00FB35F7">
              <w:rPr>
                <w:rFonts w:ascii="Times New Roman" w:hAnsi="Times New Roman" w:cs="Times"/>
                <w:b/>
                <w:bCs/>
              </w:rPr>
              <w:t>Livre 3</w:t>
            </w:r>
            <w:r w:rsidRPr="00FB35F7">
              <w:rPr>
                <w:rFonts w:ascii="Times New Roman" w:hAnsi="Times New Roman" w:cs="Times"/>
                <w:b/>
                <w:bCs/>
                <w:vertAlign w:val="superscript"/>
              </w:rPr>
              <w:t>e</w:t>
            </w:r>
            <w:r w:rsidRPr="00FB35F7">
              <w:rPr>
                <w:rFonts w:ascii="Times New Roman" w:hAnsi="Times New Roman" w:cs="Times"/>
                <w:b/>
                <w:bCs/>
              </w:rPr>
              <w:t xml:space="preserve"> de 3.</w:t>
            </w:r>
          </w:p>
          <w:p w:rsidR="003F2F8E" w:rsidRPr="00FB35F7" w:rsidRDefault="003F2F8E">
            <w:pPr>
              <w:widowControl w:val="0"/>
              <w:ind w:firstLine="0"/>
              <w:jc w:val="center"/>
              <w:rPr>
                <w:rFonts w:ascii="Times New Roman" w:hAnsi="Times New Roman" w:cs="Times"/>
              </w:rPr>
            </w:pPr>
          </w:p>
          <w:p w:rsidR="003F2F8E" w:rsidRPr="00FB35F7" w:rsidRDefault="003F2F8E">
            <w:pPr>
              <w:jc w:val="center"/>
              <w:rPr>
                <w:rFonts w:ascii="Times New Roman" w:hAnsi="Times New Roman" w:cs="Times"/>
                <w:sz w:val="20"/>
                <w:szCs w:val="20"/>
              </w:rPr>
            </w:pPr>
          </w:p>
          <w:p w:rsidR="003F2F8E" w:rsidRPr="00FB35F7" w:rsidRDefault="003F2F8E">
            <w:pPr>
              <w:ind w:firstLine="0"/>
              <w:jc w:val="center"/>
              <w:rPr>
                <w:rFonts w:ascii="Times New Roman" w:hAnsi="Times New Roman" w:cs="Times New Roman"/>
                <w:sz w:val="20"/>
                <w:szCs w:val="20"/>
              </w:rPr>
            </w:pPr>
            <w:r w:rsidRPr="00FB35F7">
              <w:rPr>
                <w:rFonts w:ascii="Times New Roman" w:hAnsi="Times New Roman" w:cs="Times New Roman"/>
                <w:sz w:val="20"/>
                <w:szCs w:val="20"/>
              </w:rPr>
              <w:t>Un document produit en version numérique par Jean-Marie Tremblay,</w:t>
            </w:r>
          </w:p>
          <w:p w:rsidR="003F2F8E" w:rsidRPr="00FB35F7" w:rsidRDefault="003F2F8E">
            <w:pPr>
              <w:ind w:firstLine="0"/>
              <w:jc w:val="center"/>
              <w:rPr>
                <w:rFonts w:ascii="Times New Roman" w:hAnsi="Times New Roman" w:cs="Times New Roman"/>
                <w:sz w:val="20"/>
                <w:szCs w:val="20"/>
              </w:rPr>
            </w:pPr>
            <w:r w:rsidRPr="00FB35F7">
              <w:rPr>
                <w:rFonts w:ascii="Times New Roman" w:hAnsi="Times New Roman" w:cs="Times New Roman"/>
                <w:sz w:val="20"/>
                <w:szCs w:val="20"/>
              </w:rPr>
              <w:t>professeur de sociologie au Cégep de Chicoutimi</w:t>
            </w:r>
          </w:p>
          <w:p w:rsidR="003F2F8E" w:rsidRPr="00FB35F7" w:rsidRDefault="003F2F8E">
            <w:pPr>
              <w:ind w:firstLine="0"/>
              <w:jc w:val="center"/>
              <w:rPr>
                <w:rFonts w:ascii="Times New Roman" w:hAnsi="Times New Roman" w:cs="Times New Roman"/>
                <w:sz w:val="20"/>
                <w:szCs w:val="20"/>
              </w:rPr>
            </w:pPr>
            <w:r w:rsidRPr="00FB35F7">
              <w:rPr>
                <w:rFonts w:ascii="Times New Roman" w:hAnsi="Times New Roman" w:cs="Times New Roman"/>
                <w:sz w:val="20"/>
                <w:szCs w:val="20"/>
              </w:rPr>
              <w:t>Courriel: jmt_sociologue@videotron.ca</w:t>
            </w:r>
          </w:p>
          <w:p w:rsidR="003F2F8E" w:rsidRPr="00FB35F7" w:rsidRDefault="003F2F8E">
            <w:pPr>
              <w:ind w:firstLine="0"/>
              <w:jc w:val="center"/>
              <w:rPr>
                <w:rFonts w:ascii="Times New Roman" w:hAnsi="Times New Roman" w:cs="Times New Roman"/>
                <w:sz w:val="20"/>
                <w:szCs w:val="20"/>
              </w:rPr>
            </w:pPr>
            <w:r w:rsidRPr="00FB35F7">
              <w:rPr>
                <w:rFonts w:ascii="Times New Roman" w:hAnsi="Times New Roman" w:cs="Times New Roman"/>
                <w:sz w:val="20"/>
                <w:szCs w:val="20"/>
              </w:rPr>
              <w:t xml:space="preserve">Site web: </w:t>
            </w:r>
            <w:hyperlink r:id="rId7" w:history="1">
              <w:r w:rsidRPr="00FB35F7">
                <w:rPr>
                  <w:rStyle w:val="Collegamentoipertestuale"/>
                  <w:rFonts w:ascii="Times New Roman" w:hAnsi="Times New Roman" w:cs="Times New Roman"/>
                  <w:sz w:val="20"/>
                  <w:szCs w:val="20"/>
                </w:rPr>
                <w:t>http://pages.infinit.net/sociojmt</w:t>
              </w:r>
            </w:hyperlink>
          </w:p>
          <w:p w:rsidR="003F2F8E" w:rsidRPr="00FB35F7" w:rsidRDefault="003F2F8E">
            <w:pPr>
              <w:ind w:firstLine="0"/>
              <w:jc w:val="center"/>
              <w:rPr>
                <w:rFonts w:ascii="Times New Roman" w:hAnsi="Times New Roman" w:cs="Times New Roman"/>
                <w:sz w:val="20"/>
                <w:szCs w:val="20"/>
              </w:rPr>
            </w:pPr>
          </w:p>
          <w:p w:rsidR="003F2F8E" w:rsidRPr="00FB35F7" w:rsidRDefault="003F2F8E">
            <w:pPr>
              <w:ind w:firstLine="0"/>
              <w:jc w:val="center"/>
              <w:rPr>
                <w:rFonts w:ascii="Times New Roman" w:hAnsi="Times New Roman"/>
                <w:sz w:val="20"/>
              </w:rPr>
            </w:pPr>
            <w:r w:rsidRPr="00FB35F7">
              <w:rPr>
                <w:rFonts w:ascii="Times New Roman" w:hAnsi="Times New Roman"/>
                <w:sz w:val="20"/>
              </w:rPr>
              <w:t>Dans le cadre de: "Les classiques des sciences sociales"</w:t>
            </w:r>
          </w:p>
          <w:p w:rsidR="003F2F8E" w:rsidRPr="00FB35F7" w:rsidRDefault="003F2F8E">
            <w:pPr>
              <w:ind w:firstLine="0"/>
              <w:jc w:val="center"/>
              <w:rPr>
                <w:rFonts w:ascii="Times New Roman" w:hAnsi="Times New Roman"/>
                <w:sz w:val="20"/>
              </w:rPr>
            </w:pPr>
            <w:r w:rsidRPr="00FB35F7">
              <w:rPr>
                <w:rFonts w:ascii="Times New Roman" w:hAnsi="Times New Roman"/>
                <w:sz w:val="20"/>
              </w:rPr>
              <w:t xml:space="preserve">Une bibliothèque numérique fondée et dirigée par Jean-Marie Tremblay, </w:t>
            </w:r>
          </w:p>
          <w:p w:rsidR="003F2F8E" w:rsidRPr="00FB35F7" w:rsidRDefault="003F2F8E">
            <w:pPr>
              <w:ind w:firstLine="0"/>
              <w:jc w:val="center"/>
              <w:rPr>
                <w:rFonts w:ascii="Times New Roman" w:hAnsi="Times New Roman"/>
                <w:sz w:val="20"/>
              </w:rPr>
            </w:pPr>
            <w:r w:rsidRPr="00FB35F7">
              <w:rPr>
                <w:rFonts w:ascii="Times New Roman" w:hAnsi="Times New Roman"/>
                <w:sz w:val="20"/>
              </w:rPr>
              <w:t>professeur de sociologie au Cégep de Chicoutimi</w:t>
            </w:r>
            <w:r w:rsidRPr="00FB35F7">
              <w:rPr>
                <w:sz w:val="20"/>
              </w:rPr>
              <w:br/>
            </w:r>
            <w:r w:rsidRPr="00FB35F7">
              <w:rPr>
                <w:rFonts w:ascii="Times New Roman" w:hAnsi="Times New Roman"/>
                <w:sz w:val="20"/>
              </w:rPr>
              <w:t xml:space="preserve">Site web: </w:t>
            </w:r>
            <w:hyperlink r:id="rId8" w:history="1">
              <w:r w:rsidRPr="00FB35F7">
                <w:rPr>
                  <w:rStyle w:val="Collegamentoipertestuale"/>
                  <w:rFonts w:ascii="Times New Roman" w:hAnsi="Times New Roman"/>
                  <w:sz w:val="20"/>
                </w:rPr>
                <w:t>http://classiques.uqac.ca/</w:t>
              </w:r>
            </w:hyperlink>
          </w:p>
          <w:p w:rsidR="003F2F8E" w:rsidRPr="00FB35F7" w:rsidRDefault="003F2F8E">
            <w:pPr>
              <w:ind w:firstLine="0"/>
              <w:jc w:val="center"/>
              <w:rPr>
                <w:rFonts w:ascii="Times New Roman" w:hAnsi="Times New Roman" w:cs="Times New Roman"/>
                <w:sz w:val="20"/>
                <w:szCs w:val="20"/>
              </w:rPr>
            </w:pPr>
          </w:p>
          <w:p w:rsidR="003F2F8E" w:rsidRPr="00FB35F7" w:rsidRDefault="003F2F8E">
            <w:pPr>
              <w:ind w:firstLine="0"/>
              <w:jc w:val="center"/>
              <w:rPr>
                <w:rFonts w:ascii="Times New Roman" w:hAnsi="Times New Roman" w:cs="Times New Roman"/>
                <w:sz w:val="20"/>
                <w:szCs w:val="20"/>
              </w:rPr>
            </w:pPr>
            <w:r w:rsidRPr="00FB35F7">
              <w:rPr>
                <w:rFonts w:ascii="Times New Roman" w:hAnsi="Times New Roman" w:cs="Times New Roman"/>
                <w:sz w:val="20"/>
                <w:szCs w:val="20"/>
              </w:rPr>
              <w:t>Une collection développée en collaboration avec la Bibliothèque</w:t>
            </w:r>
          </w:p>
          <w:p w:rsidR="003F2F8E" w:rsidRPr="00FB35F7" w:rsidRDefault="003F2F8E">
            <w:pPr>
              <w:ind w:firstLine="0"/>
              <w:jc w:val="center"/>
              <w:rPr>
                <w:rFonts w:ascii="Times New Roman" w:hAnsi="Times New Roman" w:cs="Times New Roman"/>
                <w:sz w:val="20"/>
                <w:szCs w:val="20"/>
              </w:rPr>
            </w:pPr>
            <w:r w:rsidRPr="00FB35F7">
              <w:rPr>
                <w:rFonts w:ascii="Times New Roman" w:hAnsi="Times New Roman" w:cs="Times New Roman"/>
                <w:sz w:val="20"/>
                <w:szCs w:val="20"/>
              </w:rPr>
              <w:t>Paul-Émile-Boulet de l’Université du Québec à Chicoutimi</w:t>
            </w:r>
          </w:p>
          <w:p w:rsidR="003F2F8E" w:rsidRPr="00FB35F7" w:rsidRDefault="003F2F8E" w:rsidP="003F2F8E">
            <w:pPr>
              <w:widowControl w:val="0"/>
              <w:ind w:firstLine="0"/>
              <w:jc w:val="center"/>
              <w:rPr>
                <w:rFonts w:ascii="Times New Roman" w:hAnsi="Times New Roman" w:cs="Times New Roman"/>
                <w:sz w:val="20"/>
                <w:szCs w:val="20"/>
              </w:rPr>
            </w:pPr>
            <w:r w:rsidRPr="00FB35F7">
              <w:rPr>
                <w:rFonts w:ascii="Times New Roman" w:hAnsi="Times New Roman"/>
                <w:sz w:val="20"/>
              </w:rPr>
              <w:t xml:space="preserve">Site web: </w:t>
            </w:r>
            <w:hyperlink r:id="rId9" w:history="1">
              <w:r w:rsidRPr="00FB35F7">
                <w:rPr>
                  <w:rStyle w:val="Collegamentoipertestuale"/>
                  <w:rFonts w:ascii="Times New Roman" w:hAnsi="Times New Roman"/>
                  <w:sz w:val="20"/>
                </w:rPr>
                <w:t>http://bibliotheque.uqac.ca/</w:t>
              </w:r>
            </w:hyperlink>
          </w:p>
          <w:p w:rsidR="003F2F8E" w:rsidRPr="00FB35F7" w:rsidRDefault="003F2F8E">
            <w:pPr>
              <w:widowControl w:val="0"/>
              <w:ind w:firstLine="0"/>
              <w:jc w:val="both"/>
              <w:rPr>
                <w:rFonts w:ascii="Times New Roman" w:hAnsi="Times New Roman" w:cs="Times"/>
              </w:rPr>
            </w:pPr>
          </w:p>
          <w:p w:rsidR="003F2F8E" w:rsidRPr="00FB35F7" w:rsidRDefault="003F2F8E">
            <w:pPr>
              <w:widowControl w:val="0"/>
              <w:ind w:firstLine="0"/>
              <w:jc w:val="both"/>
              <w:rPr>
                <w:rFonts w:ascii="Times New Roman" w:hAnsi="Times New Roman" w:cs="Times"/>
              </w:rPr>
            </w:pPr>
          </w:p>
          <w:p w:rsidR="003F2F8E" w:rsidRPr="00FB35F7" w:rsidRDefault="003F2F8E">
            <w:pPr>
              <w:widowControl w:val="0"/>
              <w:ind w:left="180" w:right="180"/>
              <w:jc w:val="both"/>
              <w:rPr>
                <w:rFonts w:ascii="Times" w:hAnsi="Times" w:cs="Times"/>
                <w:i/>
                <w:iCs/>
              </w:rPr>
            </w:pPr>
          </w:p>
        </w:tc>
      </w:tr>
    </w:tbl>
    <w:p w:rsidR="003F2F8E" w:rsidRPr="005E1FF1" w:rsidRDefault="003F2F8E">
      <w:pPr>
        <w:widowControl w:val="0"/>
        <w:autoSpaceDE w:val="0"/>
        <w:autoSpaceDN w:val="0"/>
        <w:adjustRightInd w:val="0"/>
        <w:rPr>
          <w:rFonts w:ascii="Arial" w:hAnsi="Arial"/>
          <w:sz w:val="32"/>
          <w:szCs w:val="32"/>
        </w:rPr>
      </w:pPr>
      <w:r w:rsidRPr="00FB35F7">
        <w:rPr>
          <w:rFonts w:ascii="Times New Roman" w:hAnsi="Times New Roman" w:cs="Times"/>
        </w:rPr>
        <w:br w:type="page"/>
      </w:r>
    </w:p>
    <w:p w:rsidR="003F2F8E" w:rsidRPr="005E1FF1" w:rsidRDefault="003F2F8E">
      <w:pPr>
        <w:widowControl w:val="0"/>
        <w:autoSpaceDE w:val="0"/>
        <w:autoSpaceDN w:val="0"/>
        <w:adjustRightInd w:val="0"/>
        <w:jc w:val="center"/>
        <w:rPr>
          <w:rFonts w:ascii="Arial" w:hAnsi="Arial"/>
          <w:b/>
          <w:color w:val="008B00"/>
          <w:sz w:val="36"/>
          <w:szCs w:val="36"/>
        </w:rPr>
      </w:pPr>
      <w:r w:rsidRPr="005E1FF1">
        <w:rPr>
          <w:rFonts w:ascii="Arial" w:hAnsi="Arial"/>
          <w:b/>
          <w:color w:val="008B00"/>
          <w:sz w:val="36"/>
          <w:szCs w:val="36"/>
        </w:rPr>
        <w:t>Politique d'utilisation</w:t>
      </w:r>
      <w:r w:rsidRPr="005E1FF1">
        <w:rPr>
          <w:rFonts w:ascii="Arial-BoldMT" w:hAnsi="Arial-BoldMT"/>
          <w:b/>
          <w:color w:val="008B00"/>
          <w:sz w:val="36"/>
          <w:szCs w:val="36"/>
        </w:rPr>
        <w:br/>
      </w:r>
      <w:r w:rsidRPr="005E1FF1">
        <w:rPr>
          <w:rFonts w:ascii="Arial" w:hAnsi="Arial"/>
          <w:b/>
          <w:color w:val="008B00"/>
          <w:sz w:val="36"/>
          <w:szCs w:val="36"/>
        </w:rPr>
        <w:t>de la bibliothèque des Classiques</w:t>
      </w:r>
    </w:p>
    <w:p w:rsidR="003F2F8E" w:rsidRPr="005E1FF1" w:rsidRDefault="003F2F8E">
      <w:pPr>
        <w:widowControl w:val="0"/>
        <w:autoSpaceDE w:val="0"/>
        <w:autoSpaceDN w:val="0"/>
        <w:adjustRightInd w:val="0"/>
        <w:rPr>
          <w:rFonts w:ascii="Arial" w:hAnsi="Arial"/>
          <w:sz w:val="32"/>
          <w:szCs w:val="32"/>
        </w:rPr>
      </w:pPr>
    </w:p>
    <w:p w:rsidR="003F2F8E" w:rsidRPr="005E1FF1" w:rsidRDefault="003F2F8E">
      <w:pPr>
        <w:widowControl w:val="0"/>
        <w:autoSpaceDE w:val="0"/>
        <w:autoSpaceDN w:val="0"/>
        <w:adjustRightInd w:val="0"/>
        <w:rPr>
          <w:rFonts w:ascii="Arial" w:hAnsi="Arial"/>
          <w:color w:val="1C1C1C"/>
          <w:sz w:val="26"/>
          <w:szCs w:val="26"/>
        </w:rPr>
      </w:pPr>
    </w:p>
    <w:p w:rsidR="003F2F8E" w:rsidRPr="005E1FF1" w:rsidRDefault="003F2F8E">
      <w:pPr>
        <w:widowControl w:val="0"/>
        <w:autoSpaceDE w:val="0"/>
        <w:autoSpaceDN w:val="0"/>
        <w:adjustRightInd w:val="0"/>
        <w:rPr>
          <w:rFonts w:ascii="Arial" w:hAnsi="Arial"/>
          <w:color w:val="1C1C1C"/>
          <w:sz w:val="26"/>
          <w:szCs w:val="26"/>
        </w:rPr>
      </w:pPr>
    </w:p>
    <w:p w:rsidR="003F2F8E" w:rsidRPr="005E1FF1" w:rsidRDefault="003F2F8E">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Toute reproduction et rediffusion de nos fichiers est inte</w:t>
      </w:r>
      <w:r w:rsidRPr="005E1FF1">
        <w:rPr>
          <w:rFonts w:ascii="Arial" w:hAnsi="Arial"/>
          <w:color w:val="1C1C1C"/>
          <w:sz w:val="26"/>
          <w:szCs w:val="26"/>
        </w:rPr>
        <w:t>r</w:t>
      </w:r>
      <w:r w:rsidRPr="005E1FF1">
        <w:rPr>
          <w:rFonts w:ascii="Arial" w:hAnsi="Arial"/>
          <w:color w:val="1C1C1C"/>
          <w:sz w:val="26"/>
          <w:szCs w:val="26"/>
        </w:rPr>
        <w:t>dite, même avec la mention de leur provenance, sans l’autorisation fo</w:t>
      </w:r>
      <w:r w:rsidRPr="005E1FF1">
        <w:rPr>
          <w:rFonts w:ascii="Arial" w:hAnsi="Arial"/>
          <w:color w:val="1C1C1C"/>
          <w:sz w:val="26"/>
          <w:szCs w:val="26"/>
        </w:rPr>
        <w:t>r</w:t>
      </w:r>
      <w:r w:rsidRPr="005E1FF1">
        <w:rPr>
          <w:rFonts w:ascii="Arial" w:hAnsi="Arial"/>
          <w:color w:val="1C1C1C"/>
          <w:sz w:val="26"/>
          <w:szCs w:val="26"/>
        </w:rPr>
        <w:t>melle, écrite, du fondateur des Classiques des sciences sociales, Jean-Marie Tremblay, sociologue.</w:t>
      </w:r>
    </w:p>
    <w:p w:rsidR="003F2F8E" w:rsidRPr="005E1FF1" w:rsidRDefault="003F2F8E">
      <w:pPr>
        <w:widowControl w:val="0"/>
        <w:autoSpaceDE w:val="0"/>
        <w:autoSpaceDN w:val="0"/>
        <w:adjustRightInd w:val="0"/>
        <w:rPr>
          <w:rFonts w:ascii="Arial" w:hAnsi="Arial"/>
          <w:color w:val="1C1C1C"/>
          <w:sz w:val="26"/>
          <w:szCs w:val="26"/>
        </w:rPr>
      </w:pPr>
    </w:p>
    <w:p w:rsidR="003F2F8E" w:rsidRPr="00F336C5" w:rsidRDefault="003F2F8E" w:rsidP="003F2F8E">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Les fichiers des Classiques des sciences sociales ne peuvent sans autorisation formelle:</w:t>
      </w:r>
    </w:p>
    <w:p w:rsidR="003F2F8E" w:rsidRPr="00F336C5" w:rsidRDefault="003F2F8E" w:rsidP="003F2F8E">
      <w:pPr>
        <w:widowControl w:val="0"/>
        <w:autoSpaceDE w:val="0"/>
        <w:autoSpaceDN w:val="0"/>
        <w:adjustRightInd w:val="0"/>
        <w:rPr>
          <w:rFonts w:ascii="Arial" w:hAnsi="Arial"/>
          <w:color w:val="1C1C1C"/>
          <w:sz w:val="26"/>
          <w:szCs w:val="26"/>
        </w:rPr>
      </w:pPr>
    </w:p>
    <w:p w:rsidR="003F2F8E" w:rsidRPr="00F336C5" w:rsidRDefault="003F2F8E" w:rsidP="003F2F8E">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être hébergés (en fichier ou page web, en totalité ou en partie) sur un serveur autre que celui des Classiques.</w:t>
      </w:r>
    </w:p>
    <w:p w:rsidR="003F2F8E" w:rsidRPr="00F336C5" w:rsidRDefault="003F2F8E" w:rsidP="003F2F8E">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servir de base de travail à un autre fichier modifié ensuite par tout autre moyen (couleur, police, mise en page, extraits, support, etc...),</w:t>
      </w:r>
    </w:p>
    <w:p w:rsidR="003F2F8E" w:rsidRPr="00F336C5" w:rsidRDefault="003F2F8E" w:rsidP="003F2F8E">
      <w:pPr>
        <w:widowControl w:val="0"/>
        <w:autoSpaceDE w:val="0"/>
        <w:autoSpaceDN w:val="0"/>
        <w:adjustRightInd w:val="0"/>
        <w:rPr>
          <w:rFonts w:ascii="Arial" w:hAnsi="Arial"/>
          <w:color w:val="1C1C1C"/>
          <w:sz w:val="26"/>
          <w:szCs w:val="26"/>
        </w:rPr>
      </w:pPr>
    </w:p>
    <w:p w:rsidR="003F2F8E" w:rsidRPr="005E1FF1" w:rsidRDefault="003F2F8E">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 xml:space="preserve">Les fichiers (.html, .doc, .pdf., .rtf, .jpg, .gif) disponibles sur le site Les Classiques des sciences sociales sont la propriété des </w:t>
      </w:r>
      <w:r w:rsidRPr="00B56B8B">
        <w:rPr>
          <w:rFonts w:ascii="Arial" w:hAnsi="Arial"/>
          <w:b/>
          <w:color w:val="1C1C1C"/>
          <w:sz w:val="26"/>
          <w:szCs w:val="26"/>
        </w:rPr>
        <w:t>Class</w:t>
      </w:r>
      <w:r w:rsidRPr="00B56B8B">
        <w:rPr>
          <w:rFonts w:ascii="Arial" w:hAnsi="Arial"/>
          <w:b/>
          <w:color w:val="1C1C1C"/>
          <w:sz w:val="26"/>
          <w:szCs w:val="26"/>
        </w:rPr>
        <w:t>i</w:t>
      </w:r>
      <w:r w:rsidRPr="00B56B8B">
        <w:rPr>
          <w:rFonts w:ascii="Arial" w:hAnsi="Arial"/>
          <w:b/>
          <w:color w:val="1C1C1C"/>
          <w:sz w:val="26"/>
          <w:szCs w:val="26"/>
        </w:rPr>
        <w:t>ques des sciences sociales</w:t>
      </w:r>
      <w:r w:rsidRPr="005E1FF1">
        <w:rPr>
          <w:rFonts w:ascii="Arial" w:hAnsi="Arial"/>
          <w:color w:val="1C1C1C"/>
          <w:sz w:val="26"/>
          <w:szCs w:val="26"/>
        </w:rPr>
        <w:t>, un organisme à but non lucratif co</w:t>
      </w:r>
      <w:r w:rsidRPr="005E1FF1">
        <w:rPr>
          <w:rFonts w:ascii="Arial" w:hAnsi="Arial"/>
          <w:color w:val="1C1C1C"/>
          <w:sz w:val="26"/>
          <w:szCs w:val="26"/>
        </w:rPr>
        <w:t>m</w:t>
      </w:r>
      <w:r w:rsidRPr="005E1FF1">
        <w:rPr>
          <w:rFonts w:ascii="Arial" w:hAnsi="Arial"/>
          <w:color w:val="1C1C1C"/>
          <w:sz w:val="26"/>
          <w:szCs w:val="26"/>
        </w:rPr>
        <w:t>posé exclusivement de bénévoles.</w:t>
      </w:r>
    </w:p>
    <w:p w:rsidR="003F2F8E" w:rsidRPr="005E1FF1" w:rsidRDefault="003F2F8E">
      <w:pPr>
        <w:widowControl w:val="0"/>
        <w:autoSpaceDE w:val="0"/>
        <w:autoSpaceDN w:val="0"/>
        <w:adjustRightInd w:val="0"/>
        <w:rPr>
          <w:rFonts w:ascii="Arial" w:hAnsi="Arial"/>
          <w:color w:val="1C1C1C"/>
          <w:sz w:val="26"/>
          <w:szCs w:val="26"/>
        </w:rPr>
      </w:pPr>
    </w:p>
    <w:p w:rsidR="003F2F8E" w:rsidRPr="005E1FF1" w:rsidRDefault="003F2F8E">
      <w:pPr>
        <w:rPr>
          <w:rFonts w:ascii="Arial" w:hAnsi="Arial"/>
          <w:color w:val="1C1C1C"/>
          <w:sz w:val="26"/>
          <w:szCs w:val="26"/>
        </w:rPr>
      </w:pPr>
      <w:r w:rsidRPr="005E1FF1">
        <w:rPr>
          <w:rFonts w:ascii="Arial" w:hAnsi="Arial"/>
          <w:color w:val="1C1C1C"/>
          <w:sz w:val="26"/>
          <w:szCs w:val="26"/>
        </w:rPr>
        <w:t>Ils sont disponibles pour une utilisation intellectuelle et perso</w:t>
      </w:r>
      <w:r w:rsidRPr="005E1FF1">
        <w:rPr>
          <w:rFonts w:ascii="Arial" w:hAnsi="Arial"/>
          <w:color w:val="1C1C1C"/>
          <w:sz w:val="26"/>
          <w:szCs w:val="26"/>
        </w:rPr>
        <w:t>n</w:t>
      </w:r>
      <w:r w:rsidRPr="005E1FF1">
        <w:rPr>
          <w:rFonts w:ascii="Arial" w:hAnsi="Arial"/>
          <w:color w:val="1C1C1C"/>
          <w:sz w:val="26"/>
          <w:szCs w:val="26"/>
        </w:rPr>
        <w:t>nelle et, en aucun cas, commerciale.</w:t>
      </w:r>
      <w:r w:rsidRPr="00B56B8B">
        <w:rPr>
          <w:rFonts w:ascii="Arial" w:hAnsi="Arial"/>
          <w:color w:val="1C1C1C"/>
          <w:sz w:val="26"/>
          <w:szCs w:val="26"/>
        </w:rPr>
        <w:t xml:space="preserve"> </w:t>
      </w:r>
      <w:r w:rsidRPr="005E1FF1">
        <w:rPr>
          <w:rFonts w:ascii="Arial" w:hAnsi="Arial"/>
          <w:color w:val="1C1C1C"/>
          <w:sz w:val="26"/>
          <w:szCs w:val="26"/>
        </w:rPr>
        <w:t>Toute utilisation à des fins commerciales des fichiers sur ce site est strictement interdite et toute rediffusion est également strictement interdite.</w:t>
      </w:r>
    </w:p>
    <w:p w:rsidR="003F2F8E" w:rsidRPr="005E1FF1" w:rsidRDefault="003F2F8E">
      <w:pPr>
        <w:rPr>
          <w:rFonts w:ascii="Arial" w:hAnsi="Arial"/>
          <w:b/>
          <w:color w:val="1C1C1C"/>
          <w:sz w:val="26"/>
          <w:szCs w:val="26"/>
        </w:rPr>
      </w:pPr>
    </w:p>
    <w:p w:rsidR="003F2F8E" w:rsidRPr="00A51D9C" w:rsidRDefault="003F2F8E">
      <w:pPr>
        <w:rPr>
          <w:rFonts w:ascii="Arial" w:hAnsi="Arial"/>
          <w:b/>
          <w:color w:val="1C1C1C"/>
          <w:sz w:val="26"/>
          <w:szCs w:val="26"/>
        </w:rPr>
      </w:pPr>
      <w:r w:rsidRPr="00A51D9C">
        <w:rPr>
          <w:rFonts w:ascii="Arial" w:hAnsi="Arial"/>
          <w:b/>
          <w:color w:val="1C1C1C"/>
          <w:sz w:val="26"/>
          <w:szCs w:val="26"/>
        </w:rPr>
        <w:t>L'accès à notre travail est libre et gratuit à tous les utilis</w:t>
      </w:r>
      <w:r w:rsidRPr="00A51D9C">
        <w:rPr>
          <w:rFonts w:ascii="Arial" w:hAnsi="Arial"/>
          <w:b/>
          <w:color w:val="1C1C1C"/>
          <w:sz w:val="26"/>
          <w:szCs w:val="26"/>
        </w:rPr>
        <w:t>a</w:t>
      </w:r>
      <w:r w:rsidRPr="00A51D9C">
        <w:rPr>
          <w:rFonts w:ascii="Arial" w:hAnsi="Arial"/>
          <w:b/>
          <w:color w:val="1C1C1C"/>
          <w:sz w:val="26"/>
          <w:szCs w:val="26"/>
        </w:rPr>
        <w:t>teurs. C'est notre mission.</w:t>
      </w:r>
    </w:p>
    <w:p w:rsidR="003F2F8E" w:rsidRPr="005E1FF1" w:rsidRDefault="003F2F8E">
      <w:pPr>
        <w:rPr>
          <w:rFonts w:ascii="Arial" w:hAnsi="Arial"/>
          <w:b/>
          <w:color w:val="1C1C1C"/>
          <w:sz w:val="26"/>
          <w:szCs w:val="26"/>
        </w:rPr>
      </w:pPr>
    </w:p>
    <w:p w:rsidR="003F2F8E" w:rsidRPr="005E1FF1" w:rsidRDefault="003F2F8E">
      <w:pPr>
        <w:rPr>
          <w:rFonts w:ascii="Arial" w:hAnsi="Arial"/>
          <w:color w:val="1C1C1C"/>
          <w:sz w:val="26"/>
          <w:szCs w:val="26"/>
        </w:rPr>
      </w:pPr>
      <w:r w:rsidRPr="005E1FF1">
        <w:rPr>
          <w:rFonts w:ascii="Arial" w:hAnsi="Arial"/>
          <w:color w:val="1C1C1C"/>
          <w:sz w:val="26"/>
          <w:szCs w:val="26"/>
        </w:rPr>
        <w:t>Jean-Marie Tremblay, sociologue</w:t>
      </w:r>
    </w:p>
    <w:p w:rsidR="003F2F8E" w:rsidRPr="005E1FF1" w:rsidRDefault="003F2F8E">
      <w:pPr>
        <w:rPr>
          <w:rFonts w:ascii="Arial" w:hAnsi="Arial"/>
          <w:color w:val="1C1C1C"/>
          <w:sz w:val="26"/>
          <w:szCs w:val="26"/>
        </w:rPr>
      </w:pPr>
      <w:r w:rsidRPr="005E1FF1">
        <w:rPr>
          <w:rFonts w:ascii="Arial" w:hAnsi="Arial"/>
          <w:color w:val="1C1C1C"/>
          <w:sz w:val="26"/>
          <w:szCs w:val="26"/>
        </w:rPr>
        <w:t>Fondateur et Président-directeur général,</w:t>
      </w:r>
    </w:p>
    <w:p w:rsidR="003F2F8E" w:rsidRPr="005E1FF1" w:rsidRDefault="003F2F8E">
      <w:pPr>
        <w:rPr>
          <w:rFonts w:ascii="Arial" w:hAnsi="Arial"/>
          <w:color w:val="000080"/>
        </w:rPr>
      </w:pPr>
      <w:r w:rsidRPr="005E1FF1">
        <w:rPr>
          <w:rFonts w:ascii="Arial" w:hAnsi="Arial"/>
          <w:color w:val="000080"/>
          <w:sz w:val="26"/>
          <w:szCs w:val="26"/>
        </w:rPr>
        <w:t>LES CLASSIQUES DES SCIENCES SOCIALES.</w:t>
      </w:r>
    </w:p>
    <w:p w:rsidR="003F2F8E" w:rsidRPr="002D79F2" w:rsidRDefault="003F2F8E" w:rsidP="003F2F8E">
      <w:pPr>
        <w:ind w:left="20" w:hanging="20"/>
        <w:jc w:val="both"/>
        <w:rPr>
          <w:rFonts w:ascii="Times New Roman" w:hAnsi="Times New Roman"/>
        </w:rPr>
      </w:pPr>
      <w:r>
        <w:br w:type="page"/>
      </w:r>
      <w:r w:rsidRPr="002D79F2">
        <w:rPr>
          <w:rFonts w:ascii="Times New Roman" w:hAnsi="Times New Roman"/>
        </w:rPr>
        <w:lastRenderedPageBreak/>
        <w:t>Cette édition électronique a été réalisée par Jean-Marie Tremblay, professeur de sociologie au Cégep de Chicoutimi</w:t>
      </w:r>
    </w:p>
    <w:p w:rsidR="003F2F8E" w:rsidRPr="004E231B" w:rsidRDefault="003F2F8E">
      <w:pPr>
        <w:ind w:right="1800" w:firstLine="0"/>
        <w:rPr>
          <w:rFonts w:ascii="Times New Roman" w:hAnsi="Times New Roman"/>
        </w:rPr>
      </w:pPr>
      <w:r w:rsidRPr="002D79F2">
        <w:rPr>
          <w:rFonts w:ascii="Times New Roman" w:hAnsi="Times New Roman"/>
        </w:rPr>
        <w:t xml:space="preserve">revue et corrigée avec ajout des mots grecs manquants par Bertrand Gibier, bénévole, </w:t>
      </w:r>
      <w:r w:rsidRPr="002D79F2">
        <w:rPr>
          <w:rFonts w:ascii="Times New Roman" w:hAnsi="Times New Roman" w:cs="Times New Roman"/>
          <w:szCs w:val="22"/>
        </w:rPr>
        <w:t xml:space="preserve">professeur de philosophie au Lycée de Montreuil-sur-Mer (dans le Pas-de-Calais), </w:t>
      </w:r>
      <w:hyperlink r:id="rId10" w:history="1">
        <w:r w:rsidRPr="002D79F2">
          <w:rPr>
            <w:rStyle w:val="Collegamentoipertestuale"/>
            <w:rFonts w:ascii="Times New Roman" w:hAnsi="Times New Roman" w:cs="Times New Roman"/>
            <w:szCs w:val="22"/>
          </w:rPr>
          <w:t>bertrand.gibier@ac-lille.fr</w:t>
        </w:r>
      </w:hyperlink>
      <w:r w:rsidRPr="002D79F2">
        <w:rPr>
          <w:rFonts w:ascii="Times New Roman" w:hAnsi="Times New Roman" w:cs="Times New Roman"/>
          <w:szCs w:val="22"/>
        </w:rPr>
        <w:t xml:space="preserve"> ,</w:t>
      </w:r>
      <w:r w:rsidRPr="002D79F2">
        <w:rPr>
          <w:rFonts w:ascii="Times New Roman" w:hAnsi="Times New Roman" w:cs="Times New Roman"/>
          <w:szCs w:val="22"/>
        </w:rPr>
        <w:br/>
      </w:r>
    </w:p>
    <w:p w:rsidR="003F2F8E" w:rsidRPr="004E231B" w:rsidRDefault="003F2F8E">
      <w:pPr>
        <w:ind w:right="1800" w:firstLine="0"/>
        <w:rPr>
          <w:rFonts w:ascii="Times New Roman" w:hAnsi="Times New Roman"/>
        </w:rPr>
      </w:pPr>
    </w:p>
    <w:p w:rsidR="003F2F8E" w:rsidRPr="004E231B" w:rsidRDefault="003F2F8E">
      <w:pPr>
        <w:ind w:right="1800" w:firstLine="0"/>
        <w:rPr>
          <w:rFonts w:ascii="Times New Roman" w:hAnsi="Times New Roman"/>
        </w:rPr>
      </w:pPr>
      <w:r w:rsidRPr="004E231B">
        <w:rPr>
          <w:rFonts w:ascii="Times New Roman" w:hAnsi="Times New Roman"/>
        </w:rPr>
        <w:t xml:space="preserve"> à partir de :</w:t>
      </w:r>
    </w:p>
    <w:p w:rsidR="003F2F8E" w:rsidRPr="004E231B" w:rsidRDefault="003F2F8E">
      <w:pPr>
        <w:widowControl w:val="0"/>
        <w:ind w:left="20" w:right="1800" w:hanging="20"/>
        <w:rPr>
          <w:rFonts w:ascii="Times New Roman" w:hAnsi="Times New Roman"/>
        </w:rPr>
      </w:pPr>
    </w:p>
    <w:p w:rsidR="003F2F8E" w:rsidRPr="004E231B" w:rsidRDefault="003F2F8E">
      <w:pPr>
        <w:ind w:right="1800"/>
        <w:jc w:val="both"/>
        <w:rPr>
          <w:rFonts w:ascii="Times New Roman" w:hAnsi="Times New Roman"/>
        </w:rPr>
      </w:pPr>
    </w:p>
    <w:p w:rsidR="003F2F8E" w:rsidRPr="002D79F2" w:rsidRDefault="003F2F8E">
      <w:pPr>
        <w:ind w:right="1800"/>
        <w:jc w:val="both"/>
        <w:rPr>
          <w:rFonts w:ascii="Times New Roman" w:hAnsi="Times New Roman" w:cs="Times"/>
        </w:rPr>
      </w:pPr>
      <w:r w:rsidRPr="002D79F2">
        <w:rPr>
          <w:rFonts w:ascii="Times New Roman" w:hAnsi="Times New Roman" w:cs="Times"/>
        </w:rPr>
        <w:t xml:space="preserve">ÉMILE DURKHEIM (1912), </w:t>
      </w:r>
      <w:r w:rsidRPr="002D79F2">
        <w:rPr>
          <w:rFonts w:ascii="Times New Roman" w:hAnsi="Times New Roman" w:cs="Times"/>
          <w:b/>
          <w:bCs/>
        </w:rPr>
        <w:t>LES FORMES ÉLÉMENTAIRES DE LA VIE RELIGIEUSE. LE SYSTÈME TOTÉMIQUE EN AUSTRALIE</w:t>
      </w:r>
      <w:r w:rsidRPr="002D79F2">
        <w:rPr>
          <w:rFonts w:ascii="Times New Roman" w:hAnsi="Times New Roman" w:cs="Times"/>
        </w:rPr>
        <w:t>.</w:t>
      </w:r>
    </w:p>
    <w:p w:rsidR="003F2F8E" w:rsidRPr="002D79F2" w:rsidRDefault="003F2F8E">
      <w:pPr>
        <w:ind w:right="1800"/>
        <w:jc w:val="both"/>
        <w:rPr>
          <w:rFonts w:ascii="Times New Roman" w:hAnsi="Times New Roman" w:cs="Times"/>
        </w:rPr>
      </w:pPr>
      <w:r w:rsidRPr="002D79F2">
        <w:rPr>
          <w:rFonts w:ascii="Times New Roman" w:hAnsi="Times New Roman" w:cs="Times"/>
          <w:b/>
        </w:rPr>
        <w:t>Livre III. Les principales attitudes rituelles</w:t>
      </w:r>
      <w:r w:rsidRPr="002D79F2">
        <w:rPr>
          <w:rFonts w:ascii="Times New Roman" w:hAnsi="Times New Roman" w:cs="Times"/>
        </w:rPr>
        <w:t xml:space="preserve"> (pp. 425-647 de l’édition papier).</w:t>
      </w:r>
    </w:p>
    <w:p w:rsidR="003F2F8E" w:rsidRPr="002D79F2" w:rsidRDefault="003F2F8E">
      <w:pPr>
        <w:ind w:right="1800"/>
        <w:jc w:val="both"/>
        <w:rPr>
          <w:rFonts w:ascii="Times New Roman" w:hAnsi="Times New Roman" w:cs="Times"/>
        </w:rPr>
      </w:pPr>
    </w:p>
    <w:p w:rsidR="003F2F8E" w:rsidRPr="004E231B" w:rsidRDefault="003F2F8E">
      <w:pPr>
        <w:ind w:right="1800"/>
        <w:jc w:val="both"/>
        <w:rPr>
          <w:rFonts w:ascii="Times New Roman" w:hAnsi="Times New Roman"/>
        </w:rPr>
      </w:pPr>
      <w:r w:rsidRPr="002D79F2">
        <w:rPr>
          <w:rFonts w:ascii="Times New Roman" w:hAnsi="Times New Roman" w:cs="Times"/>
        </w:rPr>
        <w:t>Paris, Les Presses universitaires de France, 1968, cinquième édition, 647 pages. Collection “Bibliothèque de philosophie contemporaine.</w:t>
      </w:r>
    </w:p>
    <w:p w:rsidR="003F2F8E" w:rsidRPr="004E231B" w:rsidRDefault="003F2F8E">
      <w:pPr>
        <w:ind w:right="1800"/>
        <w:jc w:val="both"/>
        <w:rPr>
          <w:rFonts w:ascii="Times New Roman" w:hAnsi="Times New Roman"/>
        </w:rPr>
      </w:pPr>
    </w:p>
    <w:p w:rsidR="003F2F8E" w:rsidRPr="004E231B" w:rsidRDefault="003F2F8E">
      <w:pPr>
        <w:ind w:right="1800" w:firstLine="0"/>
        <w:jc w:val="both"/>
        <w:rPr>
          <w:rFonts w:ascii="Times New Roman" w:hAnsi="Times New Roman"/>
        </w:rPr>
      </w:pPr>
      <w:r w:rsidRPr="004E231B">
        <w:rPr>
          <w:rFonts w:ascii="Times New Roman" w:hAnsi="Times New Roman"/>
        </w:rPr>
        <w:t>Polices de caractères utilisée :</w:t>
      </w:r>
    </w:p>
    <w:p w:rsidR="003F2F8E" w:rsidRPr="004E231B" w:rsidRDefault="003F2F8E">
      <w:pPr>
        <w:ind w:right="1800" w:firstLine="0"/>
        <w:jc w:val="both"/>
        <w:rPr>
          <w:rFonts w:ascii="Times New Roman" w:hAnsi="Times New Roman"/>
        </w:rPr>
      </w:pPr>
    </w:p>
    <w:p w:rsidR="003F2F8E" w:rsidRPr="000E450A" w:rsidRDefault="003F2F8E" w:rsidP="003F2F8E">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 texte: Times New Roman 12 points.</w:t>
      </w:r>
    </w:p>
    <w:p w:rsidR="003F2F8E" w:rsidRPr="000E450A" w:rsidRDefault="003F2F8E" w:rsidP="003F2F8E">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les notes de bas de page : Times New Roman 10 points.</w:t>
      </w:r>
    </w:p>
    <w:p w:rsidR="003F2F8E" w:rsidRPr="004E231B" w:rsidRDefault="003F2F8E">
      <w:pPr>
        <w:ind w:left="360" w:right="1800" w:firstLine="0"/>
        <w:jc w:val="both"/>
        <w:rPr>
          <w:rFonts w:ascii="Times New Roman" w:hAnsi="Times New Roman"/>
        </w:rPr>
      </w:pPr>
    </w:p>
    <w:p w:rsidR="003F2F8E" w:rsidRPr="004E231B" w:rsidRDefault="003F2F8E">
      <w:pPr>
        <w:ind w:left="360" w:right="1800" w:firstLine="0"/>
        <w:jc w:val="both"/>
        <w:rPr>
          <w:rFonts w:ascii="Times New Roman" w:hAnsi="Times New Roman"/>
        </w:rPr>
      </w:pPr>
    </w:p>
    <w:p w:rsidR="003F2F8E" w:rsidRPr="004E231B" w:rsidRDefault="003F2F8E">
      <w:pPr>
        <w:ind w:right="1800" w:firstLine="0"/>
        <w:jc w:val="both"/>
        <w:rPr>
          <w:rFonts w:ascii="Times New Roman" w:hAnsi="Times New Roman"/>
        </w:rPr>
      </w:pPr>
      <w:r w:rsidRPr="004E231B">
        <w:rPr>
          <w:rFonts w:ascii="Times New Roman" w:hAnsi="Times New Roman"/>
        </w:rPr>
        <w:t>Édition électronique réalisée avec le traitement de textes Microsoft Word 2001 pour Macintosh.</w:t>
      </w:r>
    </w:p>
    <w:p w:rsidR="003F2F8E" w:rsidRPr="004E231B" w:rsidRDefault="003F2F8E">
      <w:pPr>
        <w:ind w:right="1800" w:firstLine="0"/>
        <w:jc w:val="both"/>
        <w:rPr>
          <w:rFonts w:ascii="Times New Roman" w:hAnsi="Times New Roman"/>
        </w:rPr>
      </w:pPr>
    </w:p>
    <w:p w:rsidR="003F2F8E" w:rsidRPr="004E231B" w:rsidRDefault="003F2F8E">
      <w:pPr>
        <w:ind w:right="1800" w:firstLine="0"/>
        <w:jc w:val="both"/>
        <w:rPr>
          <w:rFonts w:ascii="Times New Roman" w:hAnsi="Times New Roman"/>
        </w:rPr>
      </w:pPr>
      <w:r w:rsidRPr="004E231B">
        <w:rPr>
          <w:rFonts w:ascii="Times New Roman" w:hAnsi="Times New Roman"/>
        </w:rPr>
        <w:t>Mise en page sur papier format</w:t>
      </w:r>
    </w:p>
    <w:p w:rsidR="003F2F8E" w:rsidRPr="004E231B" w:rsidRDefault="003F2F8E">
      <w:pPr>
        <w:ind w:right="1800" w:firstLine="0"/>
        <w:jc w:val="both"/>
        <w:rPr>
          <w:rFonts w:ascii="Times New Roman" w:hAnsi="Times New Roman"/>
        </w:rPr>
      </w:pPr>
      <w:r w:rsidRPr="004E231B">
        <w:rPr>
          <w:rFonts w:ascii="Times New Roman" w:hAnsi="Times New Roman"/>
        </w:rPr>
        <w:t>LETTRE (US letter), 8.5’’ x 11’’)</w:t>
      </w:r>
    </w:p>
    <w:p w:rsidR="003F2F8E" w:rsidRPr="004E231B" w:rsidRDefault="003F2F8E">
      <w:pPr>
        <w:ind w:right="1800" w:firstLine="0"/>
        <w:jc w:val="both"/>
        <w:rPr>
          <w:rFonts w:ascii="Times New Roman" w:hAnsi="Times New Roman"/>
        </w:rPr>
      </w:pPr>
    </w:p>
    <w:p w:rsidR="003F2F8E" w:rsidRPr="004E231B" w:rsidRDefault="003F2F8E" w:rsidP="003F2F8E">
      <w:pPr>
        <w:ind w:right="450" w:firstLine="0"/>
        <w:jc w:val="both"/>
        <w:rPr>
          <w:rFonts w:ascii="Times New Roman" w:hAnsi="Times New Roman"/>
        </w:rPr>
      </w:pPr>
      <w:r w:rsidRPr="004E231B">
        <w:rPr>
          <w:rFonts w:ascii="Times New Roman" w:hAnsi="Times New Roman"/>
        </w:rPr>
        <w:t>Édition complétée le 15 février 2002 par Jean-Marie Tremblay à Chicoutimi, Québec</w:t>
      </w:r>
      <w:r w:rsidRPr="004E231B">
        <w:rPr>
          <w:rFonts w:ascii="Times New Roman" w:hAnsi="Times New Roman" w:cs="Times New Roman"/>
          <w:szCs w:val="22"/>
        </w:rPr>
        <w:t>, revue, corrigée avec ajout des mots grecs manquants par Bertrand Gibier le 28 juin 2008</w:t>
      </w:r>
      <w:r w:rsidRPr="004E231B">
        <w:rPr>
          <w:rFonts w:ascii="Times New Roman" w:hAnsi="Times New Roman"/>
        </w:rPr>
        <w:t>.</w:t>
      </w:r>
      <w:r>
        <w:rPr>
          <w:rFonts w:ascii="Times New Roman" w:hAnsi="Times New Roman"/>
        </w:rPr>
        <w:t xml:space="preserve"> Nouvelle erreur corrigée le 17 janvier 2012.</w:t>
      </w:r>
    </w:p>
    <w:p w:rsidR="003F2F8E" w:rsidRPr="004E231B" w:rsidRDefault="003F2F8E">
      <w:pPr>
        <w:ind w:right="1800" w:firstLine="0"/>
        <w:jc w:val="both"/>
        <w:rPr>
          <w:rFonts w:ascii="Times New Roman" w:hAnsi="Times New Roman"/>
        </w:rPr>
      </w:pPr>
    </w:p>
    <w:p w:rsidR="003F2F8E" w:rsidRPr="004E231B" w:rsidRDefault="00D456E4">
      <w:pPr>
        <w:ind w:right="1800" w:firstLine="0"/>
        <w:jc w:val="both"/>
        <w:rPr>
          <w:rFonts w:ascii="Times New Roman" w:hAnsi="Times New Roman"/>
        </w:rPr>
      </w:pPr>
      <w:r w:rsidRPr="004E231B">
        <w:rPr>
          <w:noProof/>
        </w:rPr>
        <w:drawing>
          <wp:inline distT="0" distB="0" distL="0" distR="0">
            <wp:extent cx="1114425" cy="393700"/>
            <wp:effectExtent l="0" t="0" r="0" b="0"/>
            <wp:docPr id="1" name="Immagine 1" descr="fait_sur_ma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3F2F8E" w:rsidRPr="004E231B" w:rsidRDefault="003F2F8E">
      <w:pPr>
        <w:ind w:right="1800" w:firstLine="0"/>
        <w:jc w:val="both"/>
        <w:rPr>
          <w:rFonts w:ascii="Times New Roman" w:hAnsi="Times New Roman"/>
        </w:rPr>
      </w:pPr>
    </w:p>
    <w:p w:rsidR="003F2F8E" w:rsidRPr="00FB35F7" w:rsidRDefault="003F2F8E">
      <w:pPr>
        <w:ind w:left="20"/>
        <w:jc w:val="both"/>
        <w:rPr>
          <w:rFonts w:ascii="Times New Roman" w:hAnsi="Times New Roman" w:cs="Times"/>
        </w:rPr>
      </w:pPr>
      <w:r w:rsidRPr="004E231B">
        <w:rPr>
          <w:rFonts w:ascii="Times New Roman" w:hAnsi="Times New Roman"/>
        </w:rPr>
        <w:br w:type="page"/>
      </w:r>
    </w:p>
    <w:p w:rsidR="003F2F8E" w:rsidRPr="00FB35F7" w:rsidRDefault="003F2F8E">
      <w:pPr>
        <w:ind w:left="20" w:hanging="20"/>
        <w:jc w:val="center"/>
        <w:rPr>
          <w:rFonts w:ascii="Times New Roman" w:hAnsi="Times New Roman" w:cs="Times"/>
        </w:rPr>
      </w:pPr>
      <w:r w:rsidRPr="00FB35F7">
        <w:rPr>
          <w:rFonts w:ascii="Times New Roman" w:hAnsi="Times New Roman" w:cs="Times"/>
          <w:b/>
          <w:bCs/>
          <w:color w:val="FF0000"/>
          <w:sz w:val="48"/>
          <w:szCs w:val="48"/>
        </w:rPr>
        <w:t>Table des matières</w:t>
      </w:r>
    </w:p>
    <w:p w:rsidR="003F2F8E" w:rsidRPr="00FB35F7" w:rsidRDefault="003F2F8E">
      <w:pPr>
        <w:ind w:right="90"/>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w:t>
        </w:r>
        <w:bookmarkStart w:id="1" w:name="_Hlt447285051"/>
        <w:r w:rsidRPr="00FB35F7">
          <w:rPr>
            <w:rStyle w:val="Collegamentoipertestuale"/>
            <w:rFonts w:ascii="Times New Roman" w:hAnsi="Times New Roman" w:cs="Times"/>
            <w:sz w:val="20"/>
            <w:szCs w:val="20"/>
            <w:effect w:val="none"/>
          </w:rPr>
          <w:t xml:space="preserve"> </w:t>
        </w:r>
        <w:bookmarkEnd w:id="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rPr>
      </w:pPr>
    </w:p>
    <w:p w:rsidR="003F2F8E" w:rsidRPr="00FB35F7" w:rsidRDefault="003F2F8E">
      <w:pPr>
        <w:ind w:firstLine="0"/>
        <w:rPr>
          <w:rFonts w:ascii="Times New Roman" w:hAnsi="Times New Roman" w:cs="Times"/>
        </w:rPr>
      </w:pPr>
    </w:p>
    <w:p w:rsidR="003F2F8E" w:rsidRPr="00FB35F7" w:rsidRDefault="003F2F8E">
      <w:pPr>
        <w:ind w:firstLine="0"/>
        <w:rPr>
          <w:rFonts w:ascii="Times New Roman" w:hAnsi="Times New Roman" w:cs="Times"/>
        </w:rPr>
      </w:pPr>
    </w:p>
    <w:p w:rsidR="003F2F8E" w:rsidRPr="00FB35F7" w:rsidRDefault="003F2F8E">
      <w:pPr>
        <w:pStyle w:val="En-tteimpaire"/>
        <w:tabs>
          <w:tab w:val="clear" w:pos="4320"/>
          <w:tab w:val="clear" w:pos="8280"/>
          <w:tab w:val="clear" w:pos="8640"/>
          <w:tab w:val="clear" w:pos="9000"/>
        </w:tabs>
        <w:rPr>
          <w:rFonts w:ascii="Times New Roman" w:hAnsi="Times New Roman" w:cs="Comic Sans MS"/>
        </w:rPr>
      </w:pPr>
      <w:r w:rsidRPr="00FB35F7">
        <w:rPr>
          <w:rFonts w:ascii="Times New Roman" w:hAnsi="Times New Roman" w:cs="Comic Sans MS"/>
        </w:rPr>
        <w:t>Carte ethnographique de l’Australie</w:t>
      </w:r>
    </w:p>
    <w:p w:rsidR="003F2F8E" w:rsidRPr="00FB35F7" w:rsidRDefault="003F2F8E">
      <w:pPr>
        <w:ind w:firstLine="0"/>
        <w:rPr>
          <w:rFonts w:ascii="Times New Roman" w:hAnsi="Times New Roman" w:cs="Comic Sans MS"/>
        </w:rPr>
      </w:pPr>
    </w:p>
    <w:p w:rsidR="003F2F8E" w:rsidRPr="00FB35F7" w:rsidRDefault="003F2F8E">
      <w:pPr>
        <w:tabs>
          <w:tab w:val="left" w:pos="2520"/>
        </w:tabs>
        <w:ind w:left="2520" w:hanging="2520"/>
        <w:rPr>
          <w:rFonts w:ascii="Times New Roman" w:hAnsi="Times New Roman" w:cs="Comic Sans MS"/>
        </w:rPr>
      </w:pPr>
      <w:r w:rsidRPr="00FB35F7">
        <w:rPr>
          <w:rFonts w:ascii="Times New Roman" w:hAnsi="Times New Roman" w:cs="Comic Sans MS"/>
          <w:b/>
          <w:bCs/>
        </w:rPr>
        <w:t>INTRODUCTION </w:t>
      </w:r>
      <w:r w:rsidRPr="00FB35F7">
        <w:rPr>
          <w:rFonts w:ascii="Times New Roman" w:hAnsi="Times New Roman" w:cs="Comic Sans MS"/>
        </w:rPr>
        <w:t>:</w:t>
      </w:r>
      <w:r w:rsidRPr="00FB35F7">
        <w:rPr>
          <w:rFonts w:ascii="Times New Roman" w:hAnsi="Times New Roman" w:cs="Comic Sans MS"/>
        </w:rPr>
        <w:tab/>
      </w:r>
      <w:r w:rsidRPr="00FB35F7">
        <w:rPr>
          <w:rFonts w:ascii="Times New Roman" w:hAnsi="Times New Roman" w:cs="Comic Sans MS"/>
          <w:sz w:val="20"/>
          <w:szCs w:val="20"/>
        </w:rPr>
        <w:t>OBJET DE LA RECHERCHE. Sociologie religieuse et théorie de la connaissance</w:t>
      </w:r>
    </w:p>
    <w:p w:rsidR="003F2F8E" w:rsidRPr="00FB35F7" w:rsidRDefault="003F2F8E">
      <w:pPr>
        <w:pStyle w:val="En-tteimpaire"/>
        <w:tabs>
          <w:tab w:val="clear" w:pos="4320"/>
          <w:tab w:val="clear" w:pos="8280"/>
          <w:tab w:val="clear" w:pos="8640"/>
          <w:tab w:val="clear" w:pos="9000"/>
        </w:tabs>
        <w:rPr>
          <w:rFonts w:ascii="Times New Roman" w:hAnsi="Times New Roman" w:cs="Comic Sans MS"/>
        </w:rPr>
      </w:pPr>
    </w:p>
    <w:p w:rsidR="003F2F8E" w:rsidRPr="00FB35F7" w:rsidRDefault="003F2F8E">
      <w:pPr>
        <w:tabs>
          <w:tab w:val="left" w:pos="900"/>
        </w:tabs>
        <w:spacing w:before="60" w:after="60"/>
        <w:ind w:left="900" w:hanging="540"/>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Objet principal du livre: analyse de la religion la plus simple qui soit connue, en vue de déterminer les formes élémentaires de la vie religieuse. - Pourquoi elles sont plus faciles à atteindre et à expliquer à travers les religions primitives.</w:t>
      </w:r>
    </w:p>
    <w:p w:rsidR="003F2F8E" w:rsidRPr="00FB35F7" w:rsidRDefault="003F2F8E">
      <w:pPr>
        <w:tabs>
          <w:tab w:val="left" w:pos="900"/>
        </w:tabs>
        <w:spacing w:before="60" w:after="60"/>
        <w:ind w:left="900" w:hanging="540"/>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Objet secondaire de la recherche : genèse des notions fondamentales de la pensée ou catégories. - Raisons de croire qu'elles ont une origine religieuse et, par suite, sociale. - Comment, de ce point de vue, on entrevoit un moyen de renouveler la théorie de la connaissance.</w:t>
      </w:r>
    </w:p>
    <w:p w:rsidR="003F2F8E" w:rsidRPr="00FB35F7" w:rsidRDefault="003F2F8E">
      <w:pPr>
        <w:ind w:firstLine="0"/>
        <w:rPr>
          <w:rFonts w:ascii="Times New Roman" w:hAnsi="Times New Roman" w:cs="Times"/>
          <w:sz w:val="20"/>
          <w:szCs w:val="20"/>
        </w:rPr>
      </w:pPr>
    </w:p>
    <w:p w:rsidR="003F2F8E" w:rsidRPr="00FB35F7" w:rsidRDefault="003F2F8E">
      <w:pPr>
        <w:ind w:firstLine="0"/>
        <w:rPr>
          <w:rFonts w:ascii="Times New Roman" w:hAnsi="Times New Roman" w:cs="Times"/>
        </w:rPr>
      </w:pPr>
    </w:p>
    <w:p w:rsidR="003F2F8E" w:rsidRPr="00FB35F7" w:rsidRDefault="003F2F8E">
      <w:pPr>
        <w:tabs>
          <w:tab w:val="left" w:pos="1440"/>
        </w:tabs>
        <w:ind w:firstLine="0"/>
        <w:rPr>
          <w:rFonts w:ascii="Times New Roman" w:hAnsi="Times New Roman" w:cs="Times"/>
          <w:color w:val="FF0000"/>
          <w:sz w:val="28"/>
          <w:szCs w:val="28"/>
        </w:rPr>
      </w:pPr>
      <w:r w:rsidRPr="00FB35F7">
        <w:rPr>
          <w:rFonts w:ascii="Times New Roman" w:hAnsi="Times New Roman" w:cs="Times"/>
          <w:b/>
          <w:bCs/>
          <w:color w:val="FF0000"/>
          <w:sz w:val="28"/>
          <w:szCs w:val="28"/>
        </w:rPr>
        <w:t>LIVRE I:</w:t>
      </w:r>
      <w:r w:rsidRPr="00FB35F7">
        <w:rPr>
          <w:rFonts w:ascii="Times New Roman" w:hAnsi="Times New Roman" w:cs="Times"/>
          <w:color w:val="FF0000"/>
          <w:sz w:val="28"/>
          <w:szCs w:val="28"/>
        </w:rPr>
        <w:tab/>
      </w:r>
      <w:r w:rsidRPr="00FB35F7">
        <w:rPr>
          <w:rFonts w:ascii="Times New Roman" w:hAnsi="Times New Roman" w:cs="Times"/>
          <w:b/>
          <w:bCs/>
          <w:color w:val="FF0000"/>
          <w:sz w:val="28"/>
          <w:szCs w:val="28"/>
        </w:rPr>
        <w:t>QUESTIONS PRÉLIMINAIRES</w:t>
      </w:r>
    </w:p>
    <w:p w:rsidR="003F2F8E" w:rsidRPr="00FB35F7" w:rsidRDefault="003F2F8E">
      <w:pPr>
        <w:ind w:firstLine="0"/>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 :</w:t>
      </w:r>
      <w:r w:rsidRPr="00FB35F7">
        <w:rPr>
          <w:rFonts w:ascii="Times New Roman" w:hAnsi="Times New Roman"/>
        </w:rPr>
        <w:tab/>
        <w:t>Définition du phénomène religieux et de la religion</w:t>
      </w:r>
    </w:p>
    <w:p w:rsidR="003F2F8E" w:rsidRPr="00FB35F7" w:rsidRDefault="003F2F8E">
      <w:pPr>
        <w:ind w:firstLine="0"/>
        <w:rPr>
          <w:rFonts w:ascii="Times New Roman" w:hAnsi="Times New Roman" w:cs="Times"/>
        </w:rPr>
      </w:pPr>
    </w:p>
    <w:p w:rsidR="003F2F8E" w:rsidRPr="00FB35F7" w:rsidRDefault="003F2F8E">
      <w:pPr>
        <w:tabs>
          <w:tab w:val="left" w:pos="900"/>
        </w:tabs>
        <w:spacing w:before="60" w:after="60"/>
        <w:ind w:left="360" w:firstLine="0"/>
        <w:rPr>
          <w:rFonts w:ascii="Times New Roman" w:hAnsi="Times New Roman" w:cs="Comic Sans MS"/>
        </w:rPr>
      </w:pPr>
      <w:r w:rsidRPr="00FB35F7">
        <w:rPr>
          <w:rFonts w:ascii="Times New Roman" w:hAnsi="Times New Roman" w:cs="Comic Sans MS"/>
          <w:sz w:val="20"/>
          <w:szCs w:val="20"/>
        </w:rPr>
        <w:tab/>
        <w:t>Utilité d'une définition préalable de la religion; méthode à suivre pour procéder à cette définition. - Pourquoi il convient d'examiner d'abord les définitions usuelles</w:t>
      </w:r>
      <w:r w:rsidRPr="00FB35F7">
        <w:rPr>
          <w:rFonts w:ascii="Times New Roman" w:hAnsi="Times New Roman" w:cs="Comic Sans MS"/>
        </w:rPr>
        <w:t xml:space="preserve">. </w:t>
      </w:r>
    </w:p>
    <w:p w:rsidR="003F2F8E" w:rsidRPr="00FB35F7" w:rsidRDefault="003F2F8E">
      <w:pPr>
        <w:spacing w:before="60" w:after="60"/>
        <w:ind w:left="360" w:firstLine="0"/>
        <w:rPr>
          <w:rFonts w:ascii="Times New Roman" w:hAnsi="Times New Roman" w:cs="Comic Sans MS"/>
          <w:sz w:val="20"/>
          <w:szCs w:val="20"/>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La religion définie par le surnaturel et le mystérieux. - Critique : la notion du mystère n'est pas primitive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La religion définie en fonction de l'idée de Dieu ou d'être spirituel. - Religions sans dieux. - Dans les religions déistes, rites qui n'impliquent aucune idée de divinité</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Recherche d'une définition positive. - Distinction des croyances et des rites. – Défi</w:t>
      </w:r>
      <w:r w:rsidRPr="00FB35F7">
        <w:rPr>
          <w:rFonts w:ascii="Comic Sans MS" w:hAnsi="Comic Sans MS" w:cs="Comic Sans MS"/>
          <w:sz w:val="20"/>
          <w:szCs w:val="20"/>
        </w:rPr>
        <w:softHyphen/>
      </w:r>
      <w:r w:rsidRPr="00FB35F7">
        <w:rPr>
          <w:rFonts w:ascii="Times New Roman" w:hAnsi="Times New Roman" w:cs="Comic Sans MS"/>
          <w:sz w:val="20"/>
          <w:szCs w:val="20"/>
        </w:rPr>
        <w:t>ni</w:t>
      </w:r>
      <w:r w:rsidRPr="00FB35F7">
        <w:rPr>
          <w:rFonts w:ascii="Comic Sans MS" w:hAnsi="Comic Sans MS" w:cs="Comic Sans MS"/>
          <w:sz w:val="20"/>
          <w:szCs w:val="20"/>
        </w:rPr>
        <w:softHyphen/>
      </w:r>
      <w:r w:rsidRPr="00FB35F7">
        <w:rPr>
          <w:rFonts w:ascii="Times New Roman" w:hAnsi="Times New Roman" w:cs="Comic Sans MS"/>
          <w:sz w:val="20"/>
          <w:szCs w:val="20"/>
        </w:rPr>
        <w:t>tion des croyances. - Première caractéristique : division bipartite des choses en sacrées et en profanes. - Caractères distinctifs de cette division. - Définition des rites en fonction des croyances, - Définition de la religion</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Nécessité d'une autre caractéristique pour distinguer la magie de la religion. - L'idée d'Église. -Les religions individuelles excluent-elles l'idée d'Église ? </w:t>
      </w:r>
    </w:p>
    <w:p w:rsidR="003F2F8E" w:rsidRPr="00FB35F7" w:rsidRDefault="003F2F8E">
      <w:pPr>
        <w:tabs>
          <w:tab w:val="left" w:pos="900"/>
        </w:tabs>
        <w:spacing w:before="60" w:after="60"/>
        <w:ind w:left="360" w:firstLine="0"/>
        <w:rPr>
          <w:rFonts w:ascii="Times New Roman" w:hAnsi="Times New Roman" w:cs="Times"/>
        </w:rPr>
      </w:pPr>
    </w:p>
    <w:p w:rsidR="003F2F8E" w:rsidRPr="00FB35F7" w:rsidRDefault="003F2F8E">
      <w:pPr>
        <w:tabs>
          <w:tab w:val="left" w:pos="720"/>
        </w:tabs>
        <w:ind w:left="720" w:hanging="36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br w:type="page"/>
      </w:r>
      <w:r w:rsidRPr="00FB35F7">
        <w:rPr>
          <w:rFonts w:ascii="Times New Roman" w:hAnsi="Times New Roman"/>
        </w:rPr>
        <w:lastRenderedPageBreak/>
        <w:t>CHAPITRE II :</w:t>
      </w:r>
      <w:r w:rsidRPr="00FB35F7">
        <w:rPr>
          <w:rFonts w:ascii="Times New Roman" w:hAnsi="Times New Roman"/>
        </w:rPr>
        <w:tab/>
        <w:t>Les principales conceptions de la religion élémentaire</w:t>
      </w:r>
    </w:p>
    <w:p w:rsidR="003F2F8E" w:rsidRPr="00FB35F7" w:rsidRDefault="003F2F8E">
      <w:pPr>
        <w:tabs>
          <w:tab w:val="left" w:pos="1800"/>
        </w:tabs>
        <w:ind w:firstLine="0"/>
        <w:rPr>
          <w:rFonts w:ascii="Times New Roman" w:hAnsi="Times New Roman" w:cs="Time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 - L'animisme</w:t>
      </w:r>
    </w:p>
    <w:p w:rsidR="003F2F8E" w:rsidRPr="00FB35F7" w:rsidRDefault="003F2F8E">
      <w:pPr>
        <w:ind w:firstLine="0"/>
        <w:rPr>
          <w:rFonts w:ascii="Times New Roman" w:hAnsi="Times New Roman" w:cs="Times"/>
          <w:i/>
          <w:iCs/>
        </w:rPr>
      </w:pPr>
    </w:p>
    <w:p w:rsidR="003F2F8E" w:rsidRPr="00FB35F7" w:rsidRDefault="003F2F8E">
      <w:pPr>
        <w:spacing w:before="60" w:after="60"/>
        <w:ind w:left="360" w:firstLine="0"/>
        <w:rPr>
          <w:rFonts w:ascii="Times New Roman" w:hAnsi="Times New Roman" w:cs="Comic Sans MS"/>
          <w:sz w:val="20"/>
          <w:szCs w:val="20"/>
        </w:rPr>
      </w:pPr>
      <w:r w:rsidRPr="00FB35F7">
        <w:rPr>
          <w:rFonts w:ascii="Times New Roman" w:hAnsi="Times New Roman" w:cs="Comic Sans MS"/>
          <w:sz w:val="20"/>
          <w:szCs w:val="20"/>
        </w:rPr>
        <w:t xml:space="preserve">Distinction de l'animisme et du naturisme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Les trois thèses de l'animisme : 1º Genèse de l'idée d'âme; 2º Formation de l'idée d'esprit ; 3º Transformation du culte des esprits en culte de la nature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Critique de la première thèse. - Distinction de l'idée d'âme et de l'idée double. - Le rêve ne rend pas compte de l'idée d'âme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Critique de la seconde thèse. - La mort n'explique pas la transformation de l'âme en esprit. -Le culte des âmes des morts n'est pas primitif .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Critique de la troisième thèse. - L'instinct anthropomorphique. Critique qu'en a faite Spencer; réserves à ce sujet. Examen des faits par lesquels on croit prouver l'exis</w:t>
      </w:r>
      <w:r w:rsidRPr="00FB35F7">
        <w:rPr>
          <w:rFonts w:ascii="Comic Sans MS" w:hAnsi="Comic Sans MS" w:cs="Comic Sans MS"/>
          <w:sz w:val="20"/>
          <w:szCs w:val="20"/>
        </w:rPr>
        <w:softHyphen/>
      </w:r>
      <w:r w:rsidRPr="00FB35F7">
        <w:rPr>
          <w:rFonts w:ascii="Times New Roman" w:hAnsi="Times New Roman" w:cs="Comic Sans MS"/>
          <w:sz w:val="20"/>
          <w:szCs w:val="20"/>
        </w:rPr>
        <w:t>ten</w:t>
      </w:r>
      <w:r w:rsidRPr="00FB35F7">
        <w:rPr>
          <w:rFonts w:ascii="Comic Sans MS" w:hAnsi="Comic Sans MS" w:cs="Comic Sans MS"/>
          <w:sz w:val="20"/>
          <w:szCs w:val="20"/>
        </w:rPr>
        <w:softHyphen/>
      </w:r>
      <w:r w:rsidRPr="00FB35F7">
        <w:rPr>
          <w:rFonts w:ascii="Times New Roman" w:hAnsi="Times New Roman" w:cs="Comic Sans MS"/>
          <w:sz w:val="20"/>
          <w:szCs w:val="20"/>
        </w:rPr>
        <w:t>ce de cet instinct. - Différence entre l'âme et les esprits de la nature. L'anthropo</w:t>
      </w:r>
      <w:r w:rsidRPr="00FB35F7">
        <w:rPr>
          <w:rFonts w:ascii="Comic Sans MS" w:hAnsi="Comic Sans MS" w:cs="Comic Sans MS"/>
          <w:sz w:val="20"/>
          <w:szCs w:val="20"/>
        </w:rPr>
        <w:softHyphen/>
      </w:r>
      <w:r w:rsidRPr="00FB35F7">
        <w:rPr>
          <w:rFonts w:ascii="Times New Roman" w:hAnsi="Times New Roman" w:cs="Comic Sans MS"/>
          <w:sz w:val="20"/>
          <w:szCs w:val="20"/>
        </w:rPr>
        <w:t>mor</w:t>
      </w:r>
      <w:r w:rsidRPr="00FB35F7">
        <w:rPr>
          <w:rFonts w:ascii="Comic Sans MS" w:hAnsi="Comic Sans MS" w:cs="Comic Sans MS"/>
          <w:sz w:val="20"/>
          <w:szCs w:val="20"/>
        </w:rPr>
        <w:softHyphen/>
      </w:r>
      <w:r w:rsidRPr="00FB35F7">
        <w:rPr>
          <w:rFonts w:ascii="Times New Roman" w:hAnsi="Times New Roman" w:cs="Comic Sans MS"/>
          <w:sz w:val="20"/>
          <w:szCs w:val="20"/>
        </w:rPr>
        <w:t xml:space="preserve">phisme religieux n'est pas primitif.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w:t>
      </w:r>
      <w:r w:rsidRPr="00FB35F7">
        <w:rPr>
          <w:rFonts w:ascii="Times New Roman" w:hAnsi="Times New Roman" w:cs="Comic Sans MS"/>
          <w:sz w:val="20"/>
          <w:szCs w:val="20"/>
        </w:rPr>
        <w:tab/>
        <w:t xml:space="preserve">Conclusion: l'animisme réduit la religion à n'être qu'un système d'hallucinations . </w:t>
      </w:r>
    </w:p>
    <w:p w:rsidR="003F2F8E" w:rsidRPr="00FB35F7" w:rsidRDefault="003F2F8E">
      <w:pPr>
        <w:ind w:firstLine="0"/>
        <w:rPr>
          <w:rFonts w:ascii="Times New Roman" w:hAnsi="Times New Roman" w:cs="Times"/>
          <w:sz w:val="20"/>
          <w:szCs w:val="20"/>
        </w:rPr>
      </w:pP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III :</w:t>
      </w:r>
      <w:r w:rsidRPr="00FB35F7">
        <w:rPr>
          <w:rFonts w:ascii="Times New Roman" w:hAnsi="Times New Roman"/>
        </w:rPr>
        <w:tab/>
        <w:t xml:space="preserve">Les principales conceptions de la religion élémentaire </w:t>
      </w:r>
      <w:r w:rsidRPr="00FB35F7">
        <w:rPr>
          <w:rFonts w:ascii="Times New Roman" w:hAnsi="Times New Roman"/>
          <w:i/>
          <w:iCs/>
        </w:rPr>
        <w:t>(suite)</w:t>
      </w:r>
      <w:r w:rsidRPr="00FB35F7">
        <w:rPr>
          <w:rFonts w:ascii="Times New Roman" w:hAnsi="Times New Roman"/>
        </w:rPr>
        <w:t xml:space="preserve"> </w:t>
      </w:r>
    </w:p>
    <w:p w:rsidR="003F2F8E" w:rsidRPr="00FB35F7" w:rsidRDefault="003F2F8E">
      <w:pPr>
        <w:tabs>
          <w:tab w:val="left" w:pos="1800"/>
        </w:tabs>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II. - Le naturisme</w:t>
      </w:r>
    </w:p>
    <w:p w:rsidR="003F2F8E" w:rsidRPr="00FB35F7" w:rsidRDefault="003F2F8E">
      <w:pPr>
        <w:ind w:firstLine="0"/>
        <w:rPr>
          <w:rFonts w:ascii="Times New Roman" w:hAnsi="Times New Roman" w:cs="Times"/>
          <w:i/>
          <w:iCs/>
        </w:rPr>
      </w:pPr>
    </w:p>
    <w:p w:rsidR="003F2F8E" w:rsidRPr="00FB35F7" w:rsidRDefault="003F2F8E">
      <w:pPr>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 xml:space="preserve">Historique de la théorie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Exposé du naturisme d'après Max Müller</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Si la religion a pour objet d'exprimer les forces naturelles, comme elle les exprime d'une manière erronée, on ne comprend pas qu'elle ait pu se maintenir. - Prétendue distinction entre la religion et la mythologie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Le naturisme n'explique pas la distinction des choses en sacrées et en profanes </w:t>
      </w:r>
    </w:p>
    <w:p w:rsidR="003F2F8E" w:rsidRPr="00FB35F7" w:rsidRDefault="003F2F8E">
      <w:pPr>
        <w:ind w:firstLine="0"/>
        <w:jc w:val="both"/>
        <w:rPr>
          <w:rFonts w:ascii="Times New Roman" w:hAnsi="Times New Roman" w:cs="Comic Sans MS"/>
          <w:sz w:val="20"/>
          <w:szCs w:val="20"/>
        </w:rPr>
      </w:pPr>
    </w:p>
    <w:p w:rsidR="003F2F8E" w:rsidRPr="00FB35F7" w:rsidRDefault="003F2F8E">
      <w:pPr>
        <w:pStyle w:val="tdmchap"/>
        <w:rPr>
          <w:rFonts w:ascii="Times New Roman" w:hAnsi="Times New Roman"/>
        </w:rPr>
      </w:pPr>
      <w:r w:rsidRPr="00FB35F7">
        <w:rPr>
          <w:rFonts w:ascii="Times New Roman" w:hAnsi="Times New Roman"/>
        </w:rPr>
        <w:t>CHAPITRE IV</w:t>
      </w:r>
      <w:r w:rsidRPr="00FB35F7">
        <w:rPr>
          <w:rFonts w:ascii="Times New Roman" w:hAnsi="Times New Roman"/>
        </w:rPr>
        <w:tab/>
        <w:t>Le totémisme comme religion élémentaire</w:t>
      </w:r>
    </w:p>
    <w:p w:rsidR="003F2F8E" w:rsidRPr="00FB35F7" w:rsidRDefault="003F2F8E">
      <w:pPr>
        <w:pStyle w:val="tdmchap"/>
        <w:rPr>
          <w:rFonts w:ascii="Times New Roman" w:hAnsi="Times New Roman"/>
        </w:rPr>
      </w:pPr>
      <w:r w:rsidRPr="00FB35F7">
        <w:rPr>
          <w:rFonts w:ascii="Times New Roman" w:hAnsi="Times New Roman"/>
        </w:rPr>
        <w:tab/>
        <w:t>historique de la question, méthode pour la traiter</w:t>
      </w:r>
    </w:p>
    <w:p w:rsidR="003F2F8E" w:rsidRPr="00FB35F7" w:rsidRDefault="003F2F8E">
      <w:pPr>
        <w:tabs>
          <w:tab w:val="left" w:pos="1800"/>
        </w:tabs>
        <w:ind w:firstLine="0"/>
        <w:rPr>
          <w:rFonts w:ascii="Times New Roman" w:hAnsi="Times New Roman" w:cs="Time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Histoire sommaire de la question du totémisme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Baisons de méthode pour lesquelles l'étude portera spécialement sur le totémisme australien. -De la place qui sera faite aux faits américains</w:t>
      </w:r>
    </w:p>
    <w:p w:rsidR="003F2F8E" w:rsidRPr="00FB35F7" w:rsidRDefault="003F2F8E">
      <w:pPr>
        <w:tabs>
          <w:tab w:val="left" w:pos="1440"/>
        </w:tabs>
        <w:ind w:firstLine="0"/>
        <w:rPr>
          <w:rFonts w:ascii="Times New Roman" w:hAnsi="Times New Roman" w:cs="Times"/>
          <w:color w:val="FF0000"/>
          <w:sz w:val="28"/>
          <w:szCs w:val="28"/>
        </w:rPr>
      </w:pPr>
      <w:r w:rsidRPr="00FB35F7">
        <w:rPr>
          <w:rFonts w:ascii="Times New Roman" w:hAnsi="Times New Roman" w:cs="Times"/>
          <w:b/>
          <w:bCs/>
          <w:color w:val="FF0000"/>
          <w:sz w:val="28"/>
          <w:szCs w:val="28"/>
        </w:rPr>
        <w:br w:type="page"/>
      </w:r>
      <w:r w:rsidRPr="00FB35F7">
        <w:rPr>
          <w:rFonts w:ascii="Times New Roman" w:hAnsi="Times New Roman" w:cs="Times"/>
          <w:b/>
          <w:bCs/>
          <w:color w:val="FF0000"/>
          <w:sz w:val="28"/>
          <w:szCs w:val="28"/>
        </w:rPr>
        <w:lastRenderedPageBreak/>
        <w:t>LIVRE II:</w:t>
      </w:r>
      <w:r w:rsidRPr="00FB35F7">
        <w:rPr>
          <w:rFonts w:ascii="Times New Roman" w:hAnsi="Times New Roman" w:cs="Times"/>
          <w:color w:val="FF0000"/>
          <w:sz w:val="28"/>
          <w:szCs w:val="28"/>
        </w:rPr>
        <w:tab/>
      </w:r>
      <w:r w:rsidRPr="00FB35F7">
        <w:rPr>
          <w:rFonts w:ascii="Times New Roman" w:hAnsi="Times New Roman" w:cs="Times"/>
          <w:b/>
          <w:bCs/>
          <w:color w:val="FF0000"/>
          <w:sz w:val="28"/>
          <w:szCs w:val="28"/>
        </w:rPr>
        <w:t>LES CROYANCES ÉLÉMENTAIRES</w:t>
      </w:r>
    </w:p>
    <w:p w:rsidR="003F2F8E" w:rsidRPr="00FB35F7" w:rsidRDefault="003F2F8E">
      <w:pPr>
        <w:ind w:firstLine="0"/>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 :</w:t>
      </w:r>
      <w:r w:rsidRPr="00FB35F7">
        <w:rPr>
          <w:rFonts w:ascii="Times New Roman" w:hAnsi="Times New Roman"/>
        </w:rPr>
        <w:tab/>
        <w:t>Les croyances proprement totémiques</w:t>
      </w:r>
    </w:p>
    <w:p w:rsidR="003F2F8E" w:rsidRPr="00FB35F7" w:rsidRDefault="003F2F8E">
      <w:pPr>
        <w:tabs>
          <w:tab w:val="left" w:pos="1800"/>
        </w:tabs>
        <w:ind w:firstLine="0"/>
        <w:rPr>
          <w:rFonts w:ascii="Times New Roman" w:hAnsi="Times New Roman" w:cs="Times"/>
        </w:rPr>
      </w:pPr>
    </w:p>
    <w:p w:rsidR="003F2F8E" w:rsidRPr="00FB35F7" w:rsidRDefault="003F2F8E">
      <w:pPr>
        <w:spacing w:before="60" w:after="60"/>
        <w:ind w:left="907" w:hanging="547"/>
        <w:rPr>
          <w:rFonts w:ascii="Times New Roman" w:hAnsi="Times New Roman" w:cs="Comic Sans MS"/>
          <w:color w:val="000080"/>
          <w:sz w:val="20"/>
          <w:szCs w:val="20"/>
        </w:rPr>
      </w:pPr>
      <w:r w:rsidRPr="00FB35F7">
        <w:rPr>
          <w:rFonts w:ascii="Times New Roman" w:hAnsi="Times New Roman" w:cs="Comic Sans MS"/>
          <w:color w:val="000080"/>
          <w:sz w:val="20"/>
          <w:szCs w:val="20"/>
        </w:rPr>
        <w:t>I. - Le totem comme nom et comme emblème</w:t>
      </w:r>
    </w:p>
    <w:p w:rsidR="003F2F8E" w:rsidRPr="00FB35F7" w:rsidRDefault="003F2F8E">
      <w:pPr>
        <w:spacing w:before="60" w:after="60"/>
        <w:ind w:left="907" w:hanging="547"/>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Définition du clan. - Le totem comme nom du clan. - Nature des choses qui servent de totems. - Manières dont est acquis le totem. - Les totems de phratries, de classes matrimoniales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Le totem comme emblème. - Dessins totémiques gravés ou sculptés sur les objets; tatoués ou dessinés sur les corps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Caractère sacré de l'emblème totémique. - Les churinga. - Le nurtunja. - Le waninga. - Caractère conventionnel des emblèmes totémiques </w:t>
      </w:r>
    </w:p>
    <w:p w:rsidR="003F2F8E" w:rsidRPr="00FB35F7" w:rsidRDefault="003F2F8E">
      <w:pPr>
        <w:ind w:firstLine="0"/>
        <w:jc w:val="both"/>
        <w:rPr>
          <w:rFonts w:ascii="Times New Roman" w:hAnsi="Times New Roman" w:cs="Times"/>
          <w:sz w:val="20"/>
          <w:szCs w:val="20"/>
        </w:rPr>
      </w:pPr>
    </w:p>
    <w:p w:rsidR="003F2F8E" w:rsidRPr="00FB35F7" w:rsidRDefault="003F2F8E">
      <w:pPr>
        <w:pStyle w:val="tdmchap"/>
        <w:rPr>
          <w:rFonts w:ascii="Times New Roman" w:hAnsi="Times New Roman"/>
        </w:rPr>
      </w:pPr>
      <w:r w:rsidRPr="00FB35F7">
        <w:rPr>
          <w:rFonts w:ascii="Times New Roman" w:hAnsi="Times New Roman"/>
        </w:rPr>
        <w:t>CHAPITRE Il :</w:t>
      </w:r>
      <w:r w:rsidRPr="00FB35F7">
        <w:rPr>
          <w:rFonts w:ascii="Times New Roman" w:hAnsi="Times New Roman"/>
        </w:rPr>
        <w:tab/>
        <w:t xml:space="preserve">Les croyances proprement totémiques </w:t>
      </w:r>
      <w:r w:rsidRPr="00FB35F7">
        <w:rPr>
          <w:rFonts w:ascii="Times New Roman" w:hAnsi="Times New Roman"/>
          <w:i/>
          <w:iCs/>
        </w:rPr>
        <w:t>(suite)</w:t>
      </w:r>
      <w:r w:rsidRPr="00FB35F7">
        <w:rPr>
          <w:rFonts w:ascii="Times New Roman" w:hAnsi="Times New Roman"/>
        </w:rPr>
        <w:t xml:space="preserve"> </w:t>
      </w:r>
    </w:p>
    <w:p w:rsidR="003F2F8E" w:rsidRPr="00FB35F7" w:rsidRDefault="003F2F8E">
      <w:pPr>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II. - L'animal totémique et l'homme</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Caractère sacré des animaux totémiques. - Interdiction de les manger, de les tuer, de cueillir les plantes totémiques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ab/>
        <w:t>Tempéraments divers apportés à ces interdictions. - Prohibitions de contact. - Le caractère sacré de l'animal est moins prononcé que celui de l'emblème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L'homme. - Sa parenté avec l'animal ou la plante totémique, - Mythes divers qui expliquent cette parenté. - Le caractère sacré de l'homme est plus apparent sur certains points de l'organisme: le sang, les cheveux, etc. - Comment ce caractère varie avec le sexe et l'âge. - Le totémisme n'est pas une zoolâtrie ni une phytolâtrie</w:t>
      </w: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III :</w:t>
      </w:r>
      <w:r w:rsidRPr="00FB35F7">
        <w:rPr>
          <w:rFonts w:ascii="Times New Roman" w:hAnsi="Times New Roman"/>
        </w:rPr>
        <w:tab/>
        <w:t xml:space="preserve">Les croyances proprement totémiques </w:t>
      </w:r>
      <w:r w:rsidRPr="00FB35F7">
        <w:rPr>
          <w:rFonts w:ascii="Times New Roman" w:hAnsi="Times New Roman"/>
          <w:i/>
          <w:iCs/>
        </w:rPr>
        <w:t>(suite)</w:t>
      </w:r>
      <w:r w:rsidRPr="00FB35F7">
        <w:rPr>
          <w:rFonts w:ascii="Times New Roman" w:hAnsi="Times New Roman"/>
        </w:rPr>
        <w:t xml:space="preserve"> </w:t>
      </w:r>
    </w:p>
    <w:p w:rsidR="003F2F8E" w:rsidRPr="00FB35F7" w:rsidRDefault="003F2F8E">
      <w:pPr>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III.</w:t>
      </w:r>
      <w:r w:rsidRPr="00FB35F7">
        <w:rPr>
          <w:rFonts w:ascii="Times New Roman" w:hAnsi="Times New Roman" w:cs="Comic Sans MS"/>
          <w:color w:val="000080"/>
          <w:sz w:val="20"/>
          <w:szCs w:val="20"/>
        </w:rPr>
        <w:tab/>
        <w:t>Le système cosmologique du totémisme et la notion de genre</w:t>
      </w:r>
    </w:p>
    <w:p w:rsidR="003F2F8E" w:rsidRPr="00FB35F7" w:rsidRDefault="003F2F8E">
      <w:pPr>
        <w:tabs>
          <w:tab w:val="left" w:pos="900"/>
        </w:tabs>
        <w:ind w:left="900" w:hanging="540"/>
        <w:jc w:val="both"/>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 xml:space="preserve"> I.</w:t>
      </w:r>
      <w:r w:rsidRPr="00FB35F7">
        <w:rPr>
          <w:rFonts w:ascii="Times New Roman" w:hAnsi="Times New Roman" w:cs="Comic Sans MS"/>
          <w:sz w:val="20"/>
          <w:szCs w:val="20"/>
        </w:rPr>
        <w:tab/>
        <w:t>- Les classifications des choses par clans, phratries, classes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Il.</w:t>
      </w:r>
      <w:r w:rsidRPr="00FB35F7">
        <w:rPr>
          <w:rFonts w:ascii="Times New Roman" w:hAnsi="Times New Roman" w:cs="Comic Sans MS"/>
          <w:sz w:val="20"/>
          <w:szCs w:val="20"/>
        </w:rPr>
        <w:tab/>
        <w:t>- Genèse de la notion de genre : les premières classifications de choses empruntent leurs cadres à la société. - Différences entre le sentiment des ressemblances et l'idée de genre. - Pourquoi celle-ci est d'origine sociale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Signification religieuse de ces classifications : toutes les choses classées dans un clan participent de la nature du totem et de son caractère sacré. - Le système cosmologique du totémisme. - Le totémisme comme religion tribale</w:t>
      </w:r>
    </w:p>
    <w:p w:rsidR="003F2F8E" w:rsidRPr="00FB35F7" w:rsidRDefault="003F2F8E">
      <w:pPr>
        <w:ind w:firstLine="0"/>
        <w:rPr>
          <w:rFonts w:ascii="Times New Roman" w:hAnsi="Times New Roman" w:cs="Times"/>
          <w:i/>
          <w:iCs/>
        </w:rPr>
      </w:pPr>
    </w:p>
    <w:p w:rsidR="003F2F8E" w:rsidRPr="00FB35F7" w:rsidRDefault="003F2F8E">
      <w:pPr>
        <w:pStyle w:val="tdmchap"/>
        <w:rPr>
          <w:rFonts w:ascii="Times New Roman" w:hAnsi="Times New Roman"/>
        </w:rPr>
      </w:pPr>
      <w:r w:rsidRPr="00FB35F7">
        <w:rPr>
          <w:rFonts w:ascii="Times New Roman" w:hAnsi="Times New Roman"/>
        </w:rPr>
        <w:br w:type="page"/>
      </w:r>
      <w:r w:rsidRPr="00FB35F7">
        <w:rPr>
          <w:rFonts w:ascii="Times New Roman" w:hAnsi="Times New Roman"/>
        </w:rPr>
        <w:lastRenderedPageBreak/>
        <w:t>CHAPITRE IV :</w:t>
      </w:r>
      <w:r w:rsidRPr="00FB35F7">
        <w:rPr>
          <w:rFonts w:ascii="Times New Roman" w:hAnsi="Times New Roman"/>
        </w:rPr>
        <w:tab/>
        <w:t xml:space="preserve">Les croyances proprement totémiques </w:t>
      </w:r>
      <w:r w:rsidRPr="00FB35F7">
        <w:rPr>
          <w:rFonts w:ascii="Times New Roman" w:hAnsi="Times New Roman"/>
          <w:i/>
          <w:iCs/>
        </w:rPr>
        <w:t>(fin)</w:t>
      </w:r>
      <w:r w:rsidRPr="00FB35F7">
        <w:rPr>
          <w:rFonts w:ascii="Times New Roman" w:hAnsi="Times New Roman"/>
        </w:rPr>
        <w:t xml:space="preserve"> </w:t>
      </w:r>
    </w:p>
    <w:p w:rsidR="003F2F8E" w:rsidRPr="00FB35F7" w:rsidRDefault="003F2F8E">
      <w:pPr>
        <w:tabs>
          <w:tab w:val="left" w:pos="1800"/>
        </w:tabs>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IV. - Le totem individuel et le totem sexuel</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Le totem individuel comme prénom; son caractère sacré. - Le totem individuel comme emblème personnel. - Liens entre l'homme et son totem individuel. - Rapports avec le totem collectif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Il.</w:t>
      </w:r>
      <w:r w:rsidRPr="00FB35F7">
        <w:rPr>
          <w:rFonts w:ascii="Times New Roman" w:hAnsi="Times New Roman" w:cs="Comic Sans MS"/>
          <w:sz w:val="20"/>
          <w:szCs w:val="20"/>
        </w:rPr>
        <w:tab/>
        <w:t>- Les totems des groupes sexuels. - Ressemblances et différences avec les totems collectifs et individuels. - Leur caractère tribal</w:t>
      </w: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V :</w:t>
      </w:r>
      <w:r w:rsidRPr="00FB35F7">
        <w:rPr>
          <w:rFonts w:ascii="Times New Roman" w:hAnsi="Times New Roman"/>
        </w:rPr>
        <w:tab/>
        <w:t>Origines de ces croyances</w:t>
      </w:r>
    </w:p>
    <w:p w:rsidR="003F2F8E" w:rsidRPr="00FB35F7" w:rsidRDefault="003F2F8E">
      <w:pPr>
        <w:tabs>
          <w:tab w:val="left" w:pos="1800"/>
        </w:tabs>
        <w:ind w:firstLine="0"/>
        <w:rPr>
          <w:rFonts w:ascii="Times New Roman" w:hAnsi="Times New Roman" w:cs="Time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 - Examen critique des théories</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Théories qui dérivent le totémisme d'une religion antérieure : du culte des ancêtres (Wilken et Tylor) du culte de la nature (Jevons). - Critique de ces théories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xml:space="preserve">- Théories qui dérivent le totémisme collectif du totémisme individuel. - Origines attribuées par ces théories au totem individuel (Frazer, Boas, Hill Tout). - Invraisemblance de ces hypothèses. - Raisons qui démontrent l'antériorité du totem collectif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Théorie récente de Frazer : le totémisme </w:t>
      </w:r>
      <w:r w:rsidRPr="00FB35F7">
        <w:rPr>
          <w:rFonts w:ascii="Times New Roman" w:hAnsi="Times New Roman" w:cs="Comic Sans MS"/>
          <w:i/>
          <w:iCs/>
          <w:sz w:val="20"/>
          <w:szCs w:val="20"/>
        </w:rPr>
        <w:t xml:space="preserve">conceptionnel </w:t>
      </w:r>
      <w:r w:rsidRPr="00FB35F7">
        <w:rPr>
          <w:rFonts w:ascii="Times New Roman" w:hAnsi="Times New Roman" w:cs="Comic Sans MS"/>
          <w:sz w:val="20"/>
          <w:szCs w:val="20"/>
        </w:rPr>
        <w:t xml:space="preserve">et local. - Pétition de principe sur laquelle elle repose. - Le caractère religieux du totem est nié. - Le totémisme local n'est pas primitif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Théorie de Lang : le totem ne serait qu'un nom. - Difficultés pour expliquer de ce point de vue le caractère religieux des pratiques totémiques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w:t>
      </w:r>
      <w:r w:rsidRPr="00FB35F7">
        <w:rPr>
          <w:rFonts w:ascii="Times New Roman" w:hAnsi="Times New Roman" w:cs="Comic Sans MS"/>
          <w:sz w:val="20"/>
          <w:szCs w:val="20"/>
        </w:rPr>
        <w:tab/>
        <w:t>- Toutes ces théories n'expliquent le totémisme qu'en postulant des notions religieuses qui lui seraient antérieures</w:t>
      </w: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i/>
          <w:iCs/>
        </w:rPr>
      </w:pPr>
      <w:r w:rsidRPr="00FB35F7">
        <w:rPr>
          <w:rFonts w:ascii="Times New Roman" w:hAnsi="Times New Roman"/>
        </w:rPr>
        <w:t>CHAPITRE VI :</w:t>
      </w:r>
      <w:r w:rsidRPr="00FB35F7">
        <w:rPr>
          <w:rFonts w:ascii="Times New Roman" w:hAnsi="Times New Roman"/>
        </w:rPr>
        <w:tab/>
        <w:t xml:space="preserve">Origines de ces croyances </w:t>
      </w:r>
      <w:r w:rsidRPr="00FB35F7">
        <w:rPr>
          <w:rFonts w:ascii="Times New Roman" w:hAnsi="Times New Roman"/>
          <w:i/>
          <w:iCs/>
        </w:rPr>
        <w:t>(suite)</w:t>
      </w:r>
    </w:p>
    <w:p w:rsidR="003F2F8E" w:rsidRPr="00FB35F7" w:rsidRDefault="003F2F8E">
      <w:pPr>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II. - La notion de principe ou mana totémique et l'idée de force</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La notion de force ou principe totémique. - Son ubiquité. - Son caractère à la fois physique et moral</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Conceptions analogues dans d'autres sociétés intérieures. - Les dieux à Samoa. - Le wakan des Sioux, l'orenda des Iroquois, le mana en Mélanésie. - Rapports de ces notions avec le totémisme. - L'Arùnkulta der, Arunta</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Antériorité logique de la notion de force impersonnelle sur les différentes personnalités mythiques. - Théories récentes qui tendent à admettre cette antériorité</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La notion de force religieuse est le prototype de la notion de force en général </w:t>
      </w:r>
    </w:p>
    <w:p w:rsidR="003F2F8E" w:rsidRPr="00FB35F7" w:rsidRDefault="003F2F8E">
      <w:pPr>
        <w:pStyle w:val="tdmchap"/>
        <w:rPr>
          <w:rFonts w:ascii="Times New Roman" w:hAnsi="Times New Roman"/>
          <w:i/>
          <w:iCs/>
        </w:rPr>
      </w:pPr>
      <w:r w:rsidRPr="00FB35F7">
        <w:rPr>
          <w:rFonts w:ascii="Times New Roman" w:hAnsi="Times New Roman"/>
        </w:rPr>
        <w:br w:type="page"/>
      </w:r>
      <w:r w:rsidRPr="00FB35F7">
        <w:rPr>
          <w:rFonts w:ascii="Times New Roman" w:hAnsi="Times New Roman"/>
        </w:rPr>
        <w:lastRenderedPageBreak/>
        <w:t>CHAPITRE VII :</w:t>
      </w:r>
      <w:r w:rsidRPr="00FB35F7">
        <w:rPr>
          <w:rFonts w:ascii="Times New Roman" w:hAnsi="Times New Roman"/>
        </w:rPr>
        <w:tab/>
        <w:t xml:space="preserve">Origines de ces croyances </w:t>
      </w:r>
      <w:r w:rsidRPr="00FB35F7">
        <w:rPr>
          <w:rFonts w:ascii="Times New Roman" w:hAnsi="Times New Roman"/>
          <w:i/>
          <w:iCs/>
        </w:rPr>
        <w:t>(fin)</w:t>
      </w:r>
    </w:p>
    <w:p w:rsidR="003F2F8E" w:rsidRPr="00FB35F7" w:rsidRDefault="003F2F8E">
      <w:pPr>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III. - Genèse de la notion de principe ou mana totémique</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Le principe totémique est le clan, mais pensé sous des espèces sensibles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Il.</w:t>
      </w:r>
      <w:r w:rsidRPr="00FB35F7">
        <w:rPr>
          <w:rFonts w:ascii="Times New Roman" w:hAnsi="Times New Roman" w:cs="Comic Sans MS"/>
          <w:sz w:val="20"/>
          <w:szCs w:val="20"/>
        </w:rPr>
        <w:tab/>
        <w:t>- Raisons générales pour lesquelles la société est apte à éveiller la sensation du sacré et du divin. -La société comme puissance morale impérative; la notion d'autorité morale. - La société comme force qui élève l'individu au-dessus de lui-même. - Faits qui prouvent que la société crée du sacré</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Baisons spéciales aux sociétés australiennes. - Les deux phases par lesquelles passe alternativement la vie de ces sociétés : dispersion, concentration. - Grande effervescence collective pendant les périodes de concentration. Exemples. - Comment l'idée religieuse est née de cette effervescence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ab/>
        <w:t>Pourquoi la force collective a été pensée sous les espèces du totem : c'est que le totem est l'emblème du clan. - Explication des principales croyances totémiques</w:t>
      </w:r>
    </w:p>
    <w:p w:rsidR="003F2F8E" w:rsidRPr="00FB35F7" w:rsidRDefault="003F2F8E">
      <w:pPr>
        <w:spacing w:before="60" w:after="60"/>
        <w:ind w:left="907" w:hanging="547"/>
        <w:rPr>
          <w:rFonts w:ascii="Times New Roman" w:hAnsi="Times New Roman" w:cs="Comic Sans MS"/>
          <w:sz w:val="20"/>
          <w:szCs w:val="20"/>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La religion n'est pas un produit de la crainte. - Elle exprime quelque chose de réel. - Son idéalisme essentiel. - Cet idéalisme est un caractère général de la mentalité collective. -Explication de l'extériorité des forces religieuses par rapport à leurs substrats. - Du principe </w:t>
      </w:r>
      <w:r w:rsidRPr="00FB35F7">
        <w:rPr>
          <w:rFonts w:ascii="Times New Roman" w:hAnsi="Times New Roman" w:cs="Comic Sans MS"/>
          <w:i/>
          <w:iCs/>
          <w:sz w:val="20"/>
          <w:szCs w:val="20"/>
        </w:rPr>
        <w:t>la partie vaut le tout</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w:t>
      </w:r>
      <w:r w:rsidRPr="00FB35F7">
        <w:rPr>
          <w:rFonts w:ascii="Times New Roman" w:hAnsi="Times New Roman" w:cs="Comic Sans MS"/>
          <w:sz w:val="20"/>
          <w:szCs w:val="20"/>
        </w:rPr>
        <w:tab/>
        <w:t>- Origine de la notion d'emblème: l'embIématisme, condition nécessaire des représenta</w:t>
      </w:r>
      <w:r w:rsidRPr="00FB35F7">
        <w:rPr>
          <w:rFonts w:ascii="Comic Sans MS" w:hAnsi="Comic Sans MS" w:cs="Comic Sans MS"/>
          <w:sz w:val="20"/>
          <w:szCs w:val="20"/>
        </w:rPr>
        <w:softHyphen/>
      </w:r>
      <w:r w:rsidRPr="00FB35F7">
        <w:rPr>
          <w:rFonts w:ascii="Times New Roman" w:hAnsi="Times New Roman" w:cs="Comic Sans MS"/>
          <w:sz w:val="20"/>
          <w:szCs w:val="20"/>
        </w:rPr>
        <w:t>tions collectives. - Pourquoi le clan a emprunté ses emblèmes au règne animal et au règne végétal</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VI.</w:t>
      </w:r>
      <w:r w:rsidRPr="00FB35F7">
        <w:rPr>
          <w:rFonts w:ascii="Times New Roman" w:hAnsi="Times New Roman" w:cs="Comic Sans MS"/>
          <w:sz w:val="20"/>
          <w:szCs w:val="20"/>
        </w:rPr>
        <w:tab/>
        <w:t>- De l'aptitude du primitif à confondre les règnes et les classes que nous distinguons. -Origines de ces confusions. - Comment elles ont frayé la voie aux explications scientifiques. - Elles n'excluent pas la tendance à la distinction et à l'opposition</w:t>
      </w: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VIII :</w:t>
      </w:r>
      <w:r w:rsidRPr="00FB35F7">
        <w:rPr>
          <w:rFonts w:ascii="Times New Roman" w:hAnsi="Times New Roman"/>
        </w:rPr>
        <w:tab/>
        <w:t>La notion d’âme</w:t>
      </w:r>
    </w:p>
    <w:p w:rsidR="003F2F8E" w:rsidRPr="00FB35F7" w:rsidRDefault="003F2F8E">
      <w:pPr>
        <w:ind w:firstLine="0"/>
        <w:rPr>
          <w:rFonts w:ascii="Times New Roman" w:hAnsi="Times New Roman" w:cs="Time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Analyse de l'idée d'âme dans les sociétés australiennes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Il.</w:t>
      </w:r>
      <w:r w:rsidRPr="00FB35F7">
        <w:rPr>
          <w:rFonts w:ascii="Times New Roman" w:hAnsi="Times New Roman" w:cs="Comic Sans MS"/>
          <w:sz w:val="20"/>
          <w:szCs w:val="20"/>
        </w:rPr>
        <w:tab/>
        <w:t>- Genèse de cette notion. - La doctrine de la réincarnation d'après Spencer et Gillen: elle implique que l'âme est une parcelle du principe totémique. - Examen des faits rapportés par StrehIow; ils confirment la nature totémique de l'âme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Généralité de la doctrine de la réincarnation. - Faits divers à l'appui de la genèse proposée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L'antithèse de l'âme et du corps: ce qu'elle a d'objectif. - Rapports de l'âme individuelle et de l'âme collective. - L'idée d'âme n'est pas chronologiquement postérieure à l'idée de mana.</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w:t>
      </w:r>
      <w:r w:rsidRPr="00FB35F7">
        <w:rPr>
          <w:rFonts w:ascii="Times New Roman" w:hAnsi="Times New Roman" w:cs="Comic Sans MS"/>
          <w:sz w:val="20"/>
          <w:szCs w:val="20"/>
        </w:rPr>
        <w:tab/>
        <w:t>- Hypothèse pour expliquer la croyance à la survie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VI.</w:t>
      </w:r>
      <w:r w:rsidRPr="00FB35F7">
        <w:rPr>
          <w:rFonts w:ascii="Times New Roman" w:hAnsi="Times New Roman" w:cs="Comic Sans MS"/>
          <w:sz w:val="20"/>
          <w:szCs w:val="20"/>
        </w:rPr>
        <w:tab/>
        <w:t>- L'idée d'âme et l'idée de personne; éléments impersonnels de la personnalité</w:t>
      </w:r>
    </w:p>
    <w:p w:rsidR="003F2F8E" w:rsidRPr="00FB35F7" w:rsidRDefault="003F2F8E">
      <w:pPr>
        <w:ind w:firstLine="0"/>
        <w:jc w:val="both"/>
        <w:rPr>
          <w:rFonts w:ascii="Times New Roman" w:hAnsi="Times New Roman" w:cs="Times"/>
        </w:rPr>
      </w:pP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IX :</w:t>
      </w:r>
      <w:r w:rsidRPr="00FB35F7">
        <w:rPr>
          <w:rFonts w:ascii="Times New Roman" w:hAnsi="Times New Roman"/>
        </w:rPr>
        <w:tab/>
        <w:t>LA NOTION D'ESPRITS ET DE DIEUX</w:t>
      </w:r>
    </w:p>
    <w:p w:rsidR="003F2F8E" w:rsidRPr="00FB35F7" w:rsidRDefault="003F2F8E">
      <w:pPr>
        <w:ind w:firstLine="0"/>
        <w:rPr>
          <w:rFonts w:ascii="Times New Roman" w:hAnsi="Times New Roman" w:cs="Time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Différence entre l'âme et l'esprit. - Les âmes des ancêtres mythiques sont des esprits, ayant des fonctions déterminées. - Rapports entre l'esprit ancestral, l'âme individuelle et le totem individuel. - Explication de ce dernier. - Sa signification sociologique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Les esprits de la magie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Les héros civilisateurs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 xml:space="preserve">IV. - Les grands dieux. - Leur origine. - Leur rapport avec l'ensemble du système totémique. -Leur caractère tribal et international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w:t>
      </w:r>
      <w:r w:rsidRPr="00FB35F7">
        <w:rPr>
          <w:rFonts w:ascii="Times New Roman" w:hAnsi="Times New Roman" w:cs="Comic Sans MS"/>
          <w:sz w:val="20"/>
          <w:szCs w:val="20"/>
        </w:rPr>
        <w:tab/>
        <w:t xml:space="preserve">- Unité du système totémique </w:t>
      </w:r>
    </w:p>
    <w:p w:rsidR="003F2F8E" w:rsidRPr="00FB35F7" w:rsidRDefault="003F2F8E">
      <w:pPr>
        <w:ind w:firstLine="0"/>
        <w:rPr>
          <w:rFonts w:ascii="Times New Roman" w:hAnsi="Times New Roman" w:cs="Times"/>
        </w:rPr>
      </w:pPr>
    </w:p>
    <w:p w:rsidR="003F2F8E" w:rsidRPr="00FB35F7" w:rsidRDefault="003F2F8E">
      <w:pPr>
        <w:ind w:firstLine="0"/>
        <w:rPr>
          <w:rFonts w:ascii="Times New Roman" w:hAnsi="Times New Roman" w:cs="Times"/>
        </w:rPr>
      </w:pPr>
    </w:p>
    <w:p w:rsidR="003F2F8E" w:rsidRPr="00FB35F7" w:rsidRDefault="003F2F8E">
      <w:pPr>
        <w:ind w:firstLine="0"/>
        <w:rPr>
          <w:rFonts w:ascii="Times New Roman" w:hAnsi="Times New Roman" w:cs="Times"/>
          <w:sz w:val="28"/>
          <w:szCs w:val="28"/>
        </w:rPr>
      </w:pPr>
      <w:bookmarkStart w:id="2" w:name="tdm_livre_III"/>
      <w:r w:rsidRPr="00FB35F7">
        <w:rPr>
          <w:rFonts w:ascii="Times New Roman" w:hAnsi="Times New Roman" w:cs="Times"/>
          <w:b/>
          <w:bCs/>
          <w:color w:val="FF0000"/>
          <w:sz w:val="28"/>
          <w:szCs w:val="28"/>
        </w:rPr>
        <w:t>LIVRE III </w:t>
      </w:r>
      <w:r w:rsidRPr="00FB35F7">
        <w:rPr>
          <w:rFonts w:ascii="Times New Roman" w:hAnsi="Times New Roman" w:cs="Times"/>
          <w:sz w:val="28"/>
          <w:szCs w:val="28"/>
        </w:rPr>
        <w:t>:</w:t>
      </w:r>
      <w:r w:rsidRPr="00FB35F7">
        <w:rPr>
          <w:rFonts w:ascii="Times New Roman" w:hAnsi="Times New Roman" w:cs="Times"/>
          <w:sz w:val="28"/>
          <w:szCs w:val="28"/>
        </w:rPr>
        <w:tab/>
      </w:r>
      <w:hyperlink w:anchor="livre_3" w:history="1">
        <w:r w:rsidRPr="00FB35F7">
          <w:rPr>
            <w:rStyle w:val="Collegamentoipertestuale"/>
            <w:rFonts w:ascii="Times New Roman" w:hAnsi="Times New Roman" w:cs="Times"/>
            <w:b/>
            <w:bCs/>
            <w:sz w:val="28"/>
            <w:szCs w:val="28"/>
          </w:rPr>
          <w:t>LES PRINCIPALES ATTITUDES RITUELLES</w:t>
        </w:r>
      </w:hyperlink>
    </w:p>
    <w:bookmarkEnd w:id="2"/>
    <w:p w:rsidR="003F2F8E" w:rsidRPr="00FB35F7" w:rsidRDefault="003F2F8E">
      <w:pPr>
        <w:ind w:firstLine="0"/>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 :</w:t>
      </w:r>
      <w:r w:rsidRPr="00FB35F7">
        <w:rPr>
          <w:rFonts w:ascii="Times New Roman" w:hAnsi="Times New Roman"/>
        </w:rPr>
        <w:tab/>
      </w:r>
      <w:hyperlink w:anchor="livre_3_chap_1" w:history="1">
        <w:r w:rsidRPr="00FB35F7">
          <w:rPr>
            <w:rStyle w:val="Collegamentoipertestuale"/>
            <w:rFonts w:ascii="Times New Roman" w:hAnsi="Times New Roman"/>
          </w:rPr>
          <w:t>Le culte négatif et ses fonctions. les rites ascétiques</w:t>
        </w:r>
      </w:hyperlink>
    </w:p>
    <w:p w:rsidR="003F2F8E" w:rsidRPr="00FB35F7" w:rsidRDefault="003F2F8E">
      <w:pPr>
        <w:ind w:firstLine="0"/>
        <w:rPr>
          <w:rFonts w:ascii="Times New Roman" w:hAnsi="Times New Roman" w:cs="Time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w:t>
      </w:r>
      <w:hyperlink w:anchor="livre_3_chap_1_1" w:history="1">
        <w:r w:rsidRPr="00FB35F7">
          <w:rPr>
            <w:rStyle w:val="Collegamentoipertestuale"/>
            <w:rFonts w:ascii="Times New Roman" w:hAnsi="Times New Roman" w:cs="Comic Sans MS"/>
            <w:sz w:val="20"/>
            <w:szCs w:val="20"/>
          </w:rPr>
          <w:t>Le système des interdits</w:t>
        </w:r>
      </w:hyperlink>
      <w:r w:rsidRPr="00FB35F7">
        <w:rPr>
          <w:rFonts w:ascii="Times New Roman" w:hAnsi="Times New Roman" w:cs="Comic Sans MS"/>
          <w:sz w:val="20"/>
          <w:szCs w:val="20"/>
        </w:rPr>
        <w:t xml:space="preserve">. - Interdits magiques et religieux. Interdits entre choses sacrées d'espèces différentes. Interdits entre sacré et profane. - Ces derniers sont à la base du culte négatif. - Principaux types de ces interdits; leur réduction à deux types essentiels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xml:space="preserve">- </w:t>
      </w:r>
      <w:hyperlink w:anchor="livre_3_chap_1_2" w:history="1">
        <w:r w:rsidRPr="00FB35F7">
          <w:rPr>
            <w:rStyle w:val="Collegamentoipertestuale"/>
            <w:rFonts w:ascii="Times New Roman" w:hAnsi="Times New Roman" w:cs="Comic Sans MS"/>
            <w:sz w:val="20"/>
            <w:szCs w:val="20"/>
          </w:rPr>
          <w:t>L'observance des interdits modifie l'état religieux des individus</w:t>
        </w:r>
      </w:hyperlink>
      <w:r w:rsidRPr="00FB35F7">
        <w:rPr>
          <w:rFonts w:ascii="Times New Roman" w:hAnsi="Times New Roman" w:cs="Comic Sans MS"/>
          <w:sz w:val="20"/>
          <w:szCs w:val="20"/>
        </w:rPr>
        <w:t xml:space="preserve">. - Cas où cette efficacité est particulièrement apparente : les pratiques ascétiques. - Efficacité religieuse de la douleur. -Fonction sociale de l'ascétisme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w:t>
      </w:r>
      <w:hyperlink w:anchor="livre_3_chap_1_3" w:history="1">
        <w:r w:rsidRPr="00FB35F7">
          <w:rPr>
            <w:rStyle w:val="Collegamentoipertestuale"/>
            <w:rFonts w:ascii="Times New Roman" w:hAnsi="Times New Roman" w:cs="Comic Sans MS"/>
            <w:sz w:val="20"/>
            <w:szCs w:val="20"/>
          </w:rPr>
          <w:t>Explication du système des interdits: antagonisme du sacré et du profane, contagiosité du sacré</w:t>
        </w:r>
      </w:hyperlink>
      <w:r w:rsidRPr="00FB35F7">
        <w:rPr>
          <w:rFonts w:ascii="Times New Roman" w:hAnsi="Times New Roman" w:cs="Comic Sans MS"/>
          <w:sz w:val="20"/>
          <w:szCs w:val="20"/>
        </w:rPr>
        <w:t xml:space="preserv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w:t>
      </w:r>
      <w:hyperlink w:anchor="livre_3_chap_1_4" w:history="1">
        <w:r w:rsidRPr="00FB35F7">
          <w:rPr>
            <w:rStyle w:val="Collegamentoipertestuale"/>
            <w:rFonts w:ascii="Times New Roman" w:hAnsi="Times New Roman" w:cs="Comic Sans MS"/>
            <w:sz w:val="20"/>
            <w:szCs w:val="20"/>
          </w:rPr>
          <w:t>Causes de cette contagiosité</w:t>
        </w:r>
      </w:hyperlink>
      <w:r w:rsidRPr="00FB35F7">
        <w:rPr>
          <w:rFonts w:ascii="Times New Roman" w:hAnsi="Times New Roman" w:cs="Comic Sans MS"/>
          <w:sz w:val="20"/>
          <w:szCs w:val="20"/>
        </w:rPr>
        <w:t xml:space="preserve">. - Elle ne peut s'expliquer par les lois de l'association des idées. - Elle résulte de l'extériorité des forces religieuses par rapport à leurs substrats. Intérêt logique de cette propriété des forces religieuses </w:t>
      </w:r>
    </w:p>
    <w:p w:rsidR="003F2F8E" w:rsidRPr="00FB35F7" w:rsidRDefault="003F2F8E">
      <w:pPr>
        <w:ind w:firstLine="0"/>
        <w:jc w:val="both"/>
        <w:rPr>
          <w:rFonts w:ascii="Times New Roman" w:hAnsi="Times New Roman" w:cs="Times"/>
        </w:rPr>
      </w:pPr>
    </w:p>
    <w:p w:rsidR="003F2F8E" w:rsidRPr="00FB35F7" w:rsidRDefault="003F2F8E">
      <w:pPr>
        <w:ind w:firstLine="0"/>
        <w:rPr>
          <w:rFonts w:ascii="Times New Roman" w:hAnsi="Times New Roman" w:cs="Times"/>
          <w:i/>
          <w:iCs/>
        </w:rPr>
      </w:pPr>
    </w:p>
    <w:p w:rsidR="003F2F8E" w:rsidRPr="00FB35F7" w:rsidRDefault="003F2F8E">
      <w:pPr>
        <w:pStyle w:val="tdmchap"/>
        <w:rPr>
          <w:rFonts w:ascii="Times New Roman" w:hAnsi="Times New Roman"/>
        </w:rPr>
      </w:pPr>
      <w:r w:rsidRPr="00FB35F7">
        <w:rPr>
          <w:rFonts w:ascii="Times New Roman" w:hAnsi="Times New Roman"/>
        </w:rPr>
        <w:t>CHAPITRE II :</w:t>
      </w:r>
      <w:r w:rsidRPr="00FB35F7">
        <w:rPr>
          <w:rFonts w:ascii="Times New Roman" w:hAnsi="Times New Roman"/>
        </w:rPr>
        <w:tab/>
      </w:r>
      <w:hyperlink w:anchor="livre_3_chap_2" w:history="1">
        <w:r w:rsidRPr="00FB35F7">
          <w:rPr>
            <w:rStyle w:val="Collegamentoipertestuale"/>
            <w:rFonts w:ascii="Times New Roman" w:hAnsi="Times New Roman"/>
          </w:rPr>
          <w:t>Le culte positif</w:t>
        </w:r>
      </w:hyperlink>
    </w:p>
    <w:p w:rsidR="003F2F8E" w:rsidRPr="00FB35F7" w:rsidRDefault="003F2F8E">
      <w:pPr>
        <w:ind w:firstLine="0"/>
        <w:rPr>
          <w:rFonts w:ascii="Times New Roman" w:hAnsi="Times New Roman" w:cs="Time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1. - Les éléments du sacrifice</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ab/>
      </w:r>
      <w:hyperlink w:anchor="livre_3_chap_2" w:history="1">
        <w:r w:rsidRPr="00FB35F7">
          <w:rPr>
            <w:rStyle w:val="Collegamentoipertestuale"/>
            <w:rFonts w:ascii="Times New Roman" w:hAnsi="Times New Roman" w:cs="Comic Sans MS"/>
            <w:sz w:val="20"/>
            <w:szCs w:val="20"/>
          </w:rPr>
          <w:t>La cérémonie de l'Intichiuma dans les tribus de l'Australie centrale</w:t>
        </w:r>
      </w:hyperlink>
      <w:r w:rsidRPr="00FB35F7">
        <w:rPr>
          <w:rFonts w:ascii="Times New Roman" w:hAnsi="Times New Roman" w:cs="Comic Sans MS"/>
          <w:sz w:val="20"/>
          <w:szCs w:val="20"/>
        </w:rPr>
        <w:t xml:space="preserve">. - Formes diverses qu'elle présente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w:t>
      </w:r>
      <w:hyperlink w:anchor="livre_3_chap_2_1" w:history="1">
        <w:r w:rsidRPr="00FB35F7">
          <w:rPr>
            <w:rStyle w:val="Collegamentoipertestuale"/>
            <w:rFonts w:ascii="Times New Roman" w:hAnsi="Times New Roman" w:cs="Comic Sans MS"/>
            <w:sz w:val="20"/>
            <w:szCs w:val="20"/>
          </w:rPr>
          <w:t>Forme Arunta</w:t>
        </w:r>
      </w:hyperlink>
      <w:r w:rsidRPr="00FB35F7">
        <w:rPr>
          <w:rFonts w:ascii="Times New Roman" w:hAnsi="Times New Roman" w:cs="Comic Sans MS"/>
          <w:sz w:val="20"/>
          <w:szCs w:val="20"/>
        </w:rPr>
        <w:t>. - Deux phases. - Analyse de la première visite aux lieux saints, disper</w:t>
      </w:r>
      <w:r w:rsidRPr="00FB35F7">
        <w:rPr>
          <w:rFonts w:ascii="Comic Sans MS" w:hAnsi="Comic Sans MS" w:cs="Comic Sans MS"/>
          <w:sz w:val="20"/>
          <w:szCs w:val="20"/>
        </w:rPr>
        <w:softHyphen/>
      </w:r>
      <w:r w:rsidRPr="00FB35F7">
        <w:rPr>
          <w:rFonts w:ascii="Times New Roman" w:hAnsi="Times New Roman" w:cs="Comic Sans MS"/>
          <w:sz w:val="20"/>
          <w:szCs w:val="20"/>
        </w:rPr>
        <w:t>sion de poussière sacrée, effusions de sang, etc., pour assurer la reproduction de l'espèce totémique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xml:space="preserve">- </w:t>
      </w:r>
      <w:hyperlink w:anchor="livre_3_chap_2_2" w:history="1">
        <w:r w:rsidRPr="00FB35F7">
          <w:rPr>
            <w:rStyle w:val="Collegamentoipertestuale"/>
            <w:rFonts w:ascii="Times New Roman" w:hAnsi="Times New Roman" w:cs="Comic Sans MS"/>
            <w:sz w:val="20"/>
            <w:szCs w:val="20"/>
          </w:rPr>
          <w:t>Deuxième phase: consommation rituelle de la plante ou de l'animal totémique</w:t>
        </w:r>
      </w:hyperlink>
      <w:r w:rsidRPr="00FB35F7">
        <w:rPr>
          <w:rFonts w:ascii="Times New Roman" w:hAnsi="Times New Roman" w:cs="Comic Sans MS"/>
          <w:sz w:val="20"/>
          <w:szCs w:val="20"/>
        </w:rPr>
        <w:t xml:space="preserv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w:t>
      </w:r>
      <w:hyperlink w:anchor="livre_3_chap_2_3" w:history="1">
        <w:r w:rsidRPr="00FB35F7">
          <w:rPr>
            <w:rStyle w:val="Collegamentoipertestuale"/>
            <w:rFonts w:ascii="Times New Roman" w:hAnsi="Times New Roman" w:cs="Comic Sans MS"/>
            <w:sz w:val="20"/>
            <w:szCs w:val="20"/>
          </w:rPr>
          <w:t>Interprétation de la cérémonie complète</w:t>
        </w:r>
      </w:hyperlink>
      <w:r w:rsidRPr="00FB35F7">
        <w:rPr>
          <w:rFonts w:ascii="Times New Roman" w:hAnsi="Times New Roman" w:cs="Comic Sans MS"/>
          <w:sz w:val="20"/>
          <w:szCs w:val="20"/>
        </w:rPr>
        <w:t>. - Le second rite consiste en une commu</w:t>
      </w:r>
      <w:r w:rsidRPr="00FB35F7">
        <w:rPr>
          <w:rFonts w:ascii="Comic Sans MS" w:hAnsi="Comic Sans MS" w:cs="Comic Sans MS"/>
          <w:sz w:val="20"/>
          <w:szCs w:val="20"/>
        </w:rPr>
        <w:softHyphen/>
      </w:r>
      <w:r w:rsidRPr="00FB35F7">
        <w:rPr>
          <w:rFonts w:ascii="Times New Roman" w:hAnsi="Times New Roman" w:cs="Comic Sans MS"/>
          <w:sz w:val="20"/>
          <w:szCs w:val="20"/>
        </w:rPr>
        <w:t xml:space="preserve">nion alimentaire. - Raison de cette communion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w:t>
      </w:r>
      <w:hyperlink w:anchor="livre_3_chap_2_4" w:history="1">
        <w:r w:rsidRPr="00FB35F7">
          <w:rPr>
            <w:rStyle w:val="Collegamentoipertestuale"/>
            <w:rFonts w:ascii="Times New Roman" w:hAnsi="Times New Roman" w:cs="Comic Sans MS"/>
            <w:sz w:val="20"/>
            <w:szCs w:val="20"/>
          </w:rPr>
          <w:t>Les rites de la première phase consistent en oblations</w:t>
        </w:r>
      </w:hyperlink>
      <w:r w:rsidRPr="00FB35F7">
        <w:rPr>
          <w:rFonts w:ascii="Times New Roman" w:hAnsi="Times New Roman" w:cs="Comic Sans MS"/>
          <w:sz w:val="20"/>
          <w:szCs w:val="20"/>
        </w:rPr>
        <w:t xml:space="preserve">. - Analogies avec les oblations sacrificielles. - L'Intichiuma contient donc les deux éléments du sacrifice. - Intérêt de ces faits pour la théorie du sacrifice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V.</w:t>
      </w:r>
      <w:r w:rsidRPr="00FB35F7">
        <w:rPr>
          <w:rFonts w:ascii="Times New Roman" w:hAnsi="Times New Roman" w:cs="Comic Sans MS"/>
          <w:sz w:val="20"/>
          <w:szCs w:val="20"/>
        </w:rPr>
        <w:tab/>
        <w:t xml:space="preserve">- </w:t>
      </w:r>
      <w:hyperlink w:anchor="livre_3_chap_2_5" w:history="1">
        <w:r w:rsidRPr="00FB35F7">
          <w:rPr>
            <w:rStyle w:val="Collegamentoipertestuale"/>
            <w:rFonts w:ascii="Times New Roman" w:hAnsi="Times New Roman" w:cs="Comic Sans MS"/>
            <w:sz w:val="20"/>
            <w:szCs w:val="20"/>
          </w:rPr>
          <w:t>De la prétendue absurdité des oblations sacrificielles</w:t>
        </w:r>
      </w:hyperlink>
      <w:r w:rsidRPr="00FB35F7">
        <w:rPr>
          <w:rFonts w:ascii="Times New Roman" w:hAnsi="Times New Roman" w:cs="Comic Sans MS"/>
          <w:sz w:val="20"/>
          <w:szCs w:val="20"/>
        </w:rPr>
        <w:t>. - Comment elles s'expli</w:t>
      </w:r>
      <w:r w:rsidRPr="00FB35F7">
        <w:rPr>
          <w:rFonts w:ascii="Comic Sans MS" w:hAnsi="Comic Sans MS" w:cs="Comic Sans MS"/>
          <w:sz w:val="20"/>
          <w:szCs w:val="20"/>
        </w:rPr>
        <w:softHyphen/>
      </w:r>
      <w:r w:rsidRPr="00FB35F7">
        <w:rPr>
          <w:rFonts w:ascii="Times New Roman" w:hAnsi="Times New Roman" w:cs="Comic Sans MS"/>
          <w:sz w:val="20"/>
          <w:szCs w:val="20"/>
        </w:rPr>
        <w:t>quent: dépendance des êtres sacrés par rapport à leurs fidèles. - Explication du cercle dans lequel parait se mouvoir le sacrifice. - Origine de la périodicité des rites positifs</w:t>
      </w: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III :</w:t>
      </w:r>
      <w:r w:rsidRPr="00FB35F7">
        <w:rPr>
          <w:rFonts w:ascii="Times New Roman" w:hAnsi="Times New Roman"/>
        </w:rPr>
        <w:tab/>
      </w:r>
      <w:hyperlink w:anchor="livre_3_chap_3" w:history="1">
        <w:r w:rsidRPr="00FB35F7">
          <w:rPr>
            <w:rStyle w:val="Collegamentoipertestuale"/>
            <w:rFonts w:ascii="Times New Roman" w:hAnsi="Times New Roman"/>
          </w:rPr>
          <w:t xml:space="preserve">Le culte positif </w:t>
        </w:r>
        <w:r w:rsidRPr="00FB35F7">
          <w:rPr>
            <w:rStyle w:val="Collegamentoipertestuale"/>
            <w:rFonts w:ascii="Times New Roman" w:hAnsi="Times New Roman"/>
            <w:i/>
            <w:iCs/>
          </w:rPr>
          <w:t>(suite)</w:t>
        </w:r>
      </w:hyperlink>
      <w:r w:rsidRPr="00FB35F7">
        <w:rPr>
          <w:rFonts w:ascii="Times New Roman" w:hAnsi="Times New Roman"/>
        </w:rPr>
        <w:t xml:space="preserve"> </w:t>
      </w:r>
    </w:p>
    <w:p w:rsidR="003F2F8E" w:rsidRPr="00FB35F7" w:rsidRDefault="003F2F8E">
      <w:pPr>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II - Les rites mimétiques et le principe de causalité</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w:t>
      </w:r>
      <w:hyperlink w:anchor="livre_3_chap_3_1" w:history="1">
        <w:r w:rsidRPr="00FB35F7">
          <w:rPr>
            <w:rStyle w:val="Collegamentoipertestuale"/>
            <w:rFonts w:ascii="Times New Roman" w:hAnsi="Times New Roman" w:cs="Comic Sans MS"/>
            <w:sz w:val="20"/>
            <w:szCs w:val="20"/>
          </w:rPr>
          <w:t>Nature des rites mimétiques</w:t>
        </w:r>
      </w:hyperlink>
      <w:r w:rsidRPr="00FB35F7">
        <w:rPr>
          <w:rFonts w:ascii="Times New Roman" w:hAnsi="Times New Roman" w:cs="Comic Sans MS"/>
          <w:sz w:val="20"/>
          <w:szCs w:val="20"/>
        </w:rPr>
        <w:t>. - Exemples de cérémonies où ils sont employés pour assurer la fécondité de l'espèce</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xml:space="preserve">- </w:t>
      </w:r>
      <w:hyperlink w:anchor="livre_3_chap_3_2" w:history="1">
        <w:r w:rsidRPr="00FB35F7">
          <w:rPr>
            <w:rStyle w:val="Collegamentoipertestuale"/>
            <w:rFonts w:ascii="Times New Roman" w:hAnsi="Times New Roman" w:cs="Comic Sans MS"/>
            <w:sz w:val="20"/>
            <w:szCs w:val="20"/>
          </w:rPr>
          <w:t xml:space="preserve">Ils reposent sur le principe : le </w:t>
        </w:r>
        <w:r w:rsidRPr="00FB35F7">
          <w:rPr>
            <w:rStyle w:val="Collegamentoipertestuale"/>
            <w:rFonts w:ascii="Times New Roman" w:hAnsi="Times New Roman" w:cs="Comic Sans MS"/>
            <w:i/>
            <w:iCs/>
            <w:sz w:val="20"/>
            <w:szCs w:val="20"/>
          </w:rPr>
          <w:t>semblable produit le semblable</w:t>
        </w:r>
      </w:hyperlink>
      <w:r w:rsidRPr="00FB35F7">
        <w:rPr>
          <w:rFonts w:ascii="Times New Roman" w:hAnsi="Times New Roman" w:cs="Comic Sans MS"/>
          <w:i/>
          <w:iCs/>
          <w:sz w:val="20"/>
          <w:szCs w:val="20"/>
        </w:rPr>
        <w:t xml:space="preserve">. </w:t>
      </w:r>
      <w:r w:rsidRPr="00FB35F7">
        <w:rPr>
          <w:rFonts w:ascii="Times New Roman" w:hAnsi="Times New Roman" w:cs="Comic Sans MS"/>
          <w:sz w:val="20"/>
          <w:szCs w:val="20"/>
        </w:rPr>
        <w:t>- Examen de l'explication qu'en donne l'école anthropologique. - Raisons qui font qu'on imite l'animal ou la plante. - Raisons qui font attribuer à ces gestes une efficacité physique. - La foi. - En quel sens elle est fondée sur l'expérience. - Les principes de la magie sont nés dans la religion</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lastRenderedPageBreak/>
        <w:t>III.</w:t>
      </w:r>
      <w:r w:rsidRPr="00FB35F7">
        <w:rPr>
          <w:rFonts w:ascii="Times New Roman" w:hAnsi="Times New Roman" w:cs="Comic Sans MS"/>
          <w:sz w:val="20"/>
          <w:szCs w:val="20"/>
        </w:rPr>
        <w:tab/>
        <w:t xml:space="preserve">- </w:t>
      </w:r>
      <w:hyperlink w:anchor="livre_3_chap_3_3" w:history="1">
        <w:r w:rsidRPr="00FB35F7">
          <w:rPr>
            <w:rStyle w:val="Collegamentoipertestuale"/>
            <w:rFonts w:ascii="Times New Roman" w:hAnsi="Times New Roman" w:cs="Comic Sans MS"/>
            <w:sz w:val="20"/>
            <w:szCs w:val="20"/>
          </w:rPr>
          <w:t>Le principe précédent considéré comme un des premiers énoncés du principe de causalité</w:t>
        </w:r>
      </w:hyperlink>
      <w:r w:rsidRPr="00FB35F7">
        <w:rPr>
          <w:rFonts w:ascii="Times New Roman" w:hAnsi="Times New Roman" w:cs="Comic Sans MS"/>
          <w:sz w:val="20"/>
          <w:szCs w:val="20"/>
        </w:rPr>
        <w:t>. - Conditions sociales dont ce dernier dépend. - L'idée de force impersonnelle, de pouvoir, est d'origine sociale. - La nécessité du jugement causal expliquée par l'autorité inhérente aux impératifs sociaux</w:t>
      </w:r>
    </w:p>
    <w:p w:rsidR="003F2F8E" w:rsidRPr="00FB35F7" w:rsidRDefault="003F2F8E">
      <w:pPr>
        <w:ind w:firstLine="0"/>
        <w:jc w:val="both"/>
        <w:rPr>
          <w:rFonts w:ascii="Times New Roman" w:hAnsi="Times New Roman" w:cs="Times"/>
        </w:rPr>
      </w:pPr>
    </w:p>
    <w:p w:rsidR="003F2F8E" w:rsidRPr="00FB35F7" w:rsidRDefault="003F2F8E">
      <w:pPr>
        <w:pStyle w:val="tdmchap"/>
        <w:rPr>
          <w:rFonts w:ascii="Times New Roman" w:hAnsi="Times New Roman"/>
        </w:rPr>
      </w:pPr>
      <w:r w:rsidRPr="00FB35F7">
        <w:rPr>
          <w:rFonts w:ascii="Times New Roman" w:hAnsi="Times New Roman"/>
        </w:rPr>
        <w:t>CHAPITRE IV :</w:t>
      </w:r>
      <w:r w:rsidRPr="00FB35F7">
        <w:rPr>
          <w:rFonts w:ascii="Times New Roman" w:hAnsi="Times New Roman"/>
        </w:rPr>
        <w:tab/>
      </w:r>
      <w:hyperlink w:anchor="livre_3_chap_4" w:history="1">
        <w:r w:rsidRPr="00FB35F7">
          <w:rPr>
            <w:rStyle w:val="Collegamentoipertestuale"/>
            <w:rFonts w:ascii="Times New Roman" w:hAnsi="Times New Roman"/>
          </w:rPr>
          <w:t xml:space="preserve">Le culte positif </w:t>
        </w:r>
        <w:r w:rsidRPr="00FB35F7">
          <w:rPr>
            <w:rStyle w:val="Collegamentoipertestuale"/>
            <w:rFonts w:ascii="Times New Roman" w:hAnsi="Times New Roman"/>
            <w:i/>
            <w:iCs/>
          </w:rPr>
          <w:t>(suite)</w:t>
        </w:r>
      </w:hyperlink>
      <w:r w:rsidRPr="00FB35F7">
        <w:rPr>
          <w:rFonts w:ascii="Times New Roman" w:hAnsi="Times New Roman"/>
        </w:rPr>
        <w:t xml:space="preserve"> </w:t>
      </w:r>
    </w:p>
    <w:p w:rsidR="003F2F8E" w:rsidRPr="00FB35F7" w:rsidRDefault="003F2F8E">
      <w:pPr>
        <w:ind w:firstLine="0"/>
        <w:rPr>
          <w:rFonts w:ascii="Times New Roman" w:hAnsi="Times New Roman" w:cs="Times"/>
          <w:i/>
          <w:iCs/>
        </w:rPr>
      </w:pPr>
    </w:p>
    <w:p w:rsidR="003F2F8E" w:rsidRPr="00FB35F7" w:rsidRDefault="003F2F8E">
      <w:pPr>
        <w:ind w:firstLine="0"/>
        <w:rPr>
          <w:rFonts w:ascii="Times New Roman" w:hAnsi="Times New Roman" w:cs="Comic Sans MS"/>
          <w:color w:val="000080"/>
          <w:sz w:val="20"/>
          <w:szCs w:val="20"/>
        </w:rPr>
      </w:pPr>
      <w:r w:rsidRPr="00FB35F7">
        <w:rPr>
          <w:rFonts w:ascii="Times New Roman" w:hAnsi="Times New Roman" w:cs="Comic Sans MS"/>
          <w:color w:val="000080"/>
          <w:sz w:val="20"/>
          <w:szCs w:val="20"/>
        </w:rPr>
        <w:t>III. - Les rites représentatifs ou commémoratifs</w:t>
      </w:r>
    </w:p>
    <w:p w:rsidR="003F2F8E" w:rsidRPr="00FB35F7" w:rsidRDefault="003F2F8E">
      <w:pPr>
        <w:ind w:firstLine="0"/>
        <w:rPr>
          <w:rFonts w:ascii="Times New Roman" w:hAnsi="Times New Roman" w:cs="Times"/>
          <w:i/>
          <w:iCs/>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w:t>
      </w:r>
      <w:hyperlink w:anchor="livre_3_chap_4_1" w:history="1">
        <w:r w:rsidRPr="00FB35F7">
          <w:rPr>
            <w:rStyle w:val="Collegamentoipertestuale"/>
            <w:rFonts w:ascii="Times New Roman" w:hAnsi="Times New Roman" w:cs="Comic Sans MS"/>
            <w:sz w:val="20"/>
            <w:szCs w:val="20"/>
          </w:rPr>
          <w:t>Rites représentatifs avec efficacité physique</w:t>
        </w:r>
      </w:hyperlink>
      <w:r w:rsidRPr="00FB35F7">
        <w:rPr>
          <w:rFonts w:ascii="Times New Roman" w:hAnsi="Times New Roman" w:cs="Comic Sans MS"/>
          <w:sz w:val="20"/>
          <w:szCs w:val="20"/>
        </w:rPr>
        <w:t xml:space="preserve">. - Leurs rapports avec les cérémonies antérieurement décrites. - L'action qu'ils produisent est toute morale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xml:space="preserve">- </w:t>
      </w:r>
      <w:hyperlink w:anchor="livre_3_chap_4_2" w:history="1">
        <w:r w:rsidRPr="00FB35F7">
          <w:rPr>
            <w:rStyle w:val="Collegamentoipertestuale"/>
            <w:rFonts w:ascii="Times New Roman" w:hAnsi="Times New Roman" w:cs="Comic Sans MS"/>
            <w:sz w:val="20"/>
            <w:szCs w:val="20"/>
          </w:rPr>
          <w:t>Rites représentatifs sans efficacité physique</w:t>
        </w:r>
      </w:hyperlink>
      <w:r w:rsidRPr="00FB35F7">
        <w:rPr>
          <w:rFonts w:ascii="Times New Roman" w:hAnsi="Times New Roman" w:cs="Comic Sans MS"/>
          <w:sz w:val="20"/>
          <w:szCs w:val="20"/>
        </w:rPr>
        <w:t xml:space="preserve">. - Ils confirment les résultats précédents. - L'élément récréatif de la religion; son importance; ses raisons d'être. - La notion de fête.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w:t>
      </w:r>
      <w:hyperlink w:anchor="livre_3_chap_4_3" w:history="1">
        <w:r w:rsidRPr="00FB35F7">
          <w:rPr>
            <w:rStyle w:val="Collegamentoipertestuale"/>
            <w:rFonts w:ascii="Times New Roman" w:hAnsi="Times New Roman" w:cs="Comic Sans MS"/>
            <w:sz w:val="20"/>
            <w:szCs w:val="20"/>
          </w:rPr>
          <w:t>Ambiguïté fonctionnelle des différentes cérémonies étudiées; elles se substituent les unes aux autres</w:t>
        </w:r>
      </w:hyperlink>
      <w:r w:rsidRPr="00FB35F7">
        <w:rPr>
          <w:rFonts w:ascii="Times New Roman" w:hAnsi="Times New Roman" w:cs="Comic Sans MS"/>
          <w:sz w:val="20"/>
          <w:szCs w:val="20"/>
        </w:rPr>
        <w:t xml:space="preserve">. - Comment cette ambiguïté confirme la théorie proposée. </w:t>
      </w:r>
    </w:p>
    <w:p w:rsidR="003F2F8E" w:rsidRPr="00FB35F7" w:rsidRDefault="003F2F8E">
      <w:pPr>
        <w:ind w:firstLine="0"/>
        <w:jc w:val="both"/>
        <w:rPr>
          <w:rFonts w:ascii="Times New Roman" w:hAnsi="Times New Roman" w:cs="Times"/>
          <w:sz w:val="20"/>
          <w:szCs w:val="20"/>
        </w:rPr>
      </w:pPr>
    </w:p>
    <w:p w:rsidR="003F2F8E" w:rsidRPr="00FB35F7" w:rsidRDefault="003F2F8E">
      <w:pPr>
        <w:pStyle w:val="tdmchap"/>
        <w:rPr>
          <w:rFonts w:ascii="Times New Roman" w:hAnsi="Times New Roman"/>
        </w:rPr>
      </w:pPr>
      <w:r w:rsidRPr="00FB35F7">
        <w:rPr>
          <w:rFonts w:ascii="Times New Roman" w:hAnsi="Times New Roman"/>
        </w:rPr>
        <w:t>CHAPITRE V :</w:t>
      </w:r>
      <w:r w:rsidRPr="00FB35F7">
        <w:rPr>
          <w:rFonts w:ascii="Times New Roman" w:hAnsi="Times New Roman"/>
        </w:rPr>
        <w:tab/>
      </w:r>
      <w:hyperlink w:anchor="livre_3_chap_5" w:history="1">
        <w:r w:rsidRPr="00FB35F7">
          <w:rPr>
            <w:rStyle w:val="Collegamentoipertestuale"/>
            <w:rFonts w:ascii="Times New Roman" w:hAnsi="Times New Roman"/>
          </w:rPr>
          <w:t>Les rites piaculaires et l'ambiguïté de la notion du sacré</w:t>
        </w:r>
      </w:hyperlink>
    </w:p>
    <w:p w:rsidR="003F2F8E" w:rsidRPr="00FB35F7" w:rsidRDefault="003F2F8E">
      <w:pPr>
        <w:ind w:firstLine="0"/>
        <w:rPr>
          <w:rFonts w:ascii="Times New Roman" w:hAnsi="Times New Roman" w:cs="Times"/>
        </w:rPr>
      </w:pPr>
    </w:p>
    <w:p w:rsidR="003F2F8E" w:rsidRPr="00FB35F7" w:rsidRDefault="003F2F8E">
      <w:pPr>
        <w:tabs>
          <w:tab w:val="left" w:pos="900"/>
        </w:tabs>
        <w:ind w:left="900" w:hanging="540"/>
        <w:jc w:val="both"/>
        <w:rPr>
          <w:rFonts w:ascii="Times New Roman" w:hAnsi="Times New Roman" w:cs="Comic Sans MS"/>
          <w:sz w:val="20"/>
          <w:szCs w:val="20"/>
        </w:rPr>
      </w:pPr>
      <w:r w:rsidRPr="00FB35F7">
        <w:rPr>
          <w:rFonts w:ascii="Times New Roman" w:hAnsi="Times New Roman" w:cs="Comic Sans MS"/>
          <w:sz w:val="20"/>
          <w:szCs w:val="20"/>
        </w:rPr>
        <w:t xml:space="preserve">Définition du rite piacuIaire . </w:t>
      </w:r>
    </w:p>
    <w:p w:rsidR="003F2F8E" w:rsidRPr="00FB35F7" w:rsidRDefault="003F2F8E">
      <w:pPr>
        <w:ind w:firstLine="0"/>
        <w:rPr>
          <w:rFonts w:ascii="Times New Roman" w:hAnsi="Times New Roman" w:cs="Comic Sans MS"/>
          <w:sz w:val="20"/>
          <w:szCs w:val="20"/>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w:t>
      </w:r>
      <w:hyperlink w:anchor="livre_3_chap_5_1" w:history="1">
        <w:r w:rsidRPr="00FB35F7">
          <w:rPr>
            <w:rStyle w:val="Collegamentoipertestuale"/>
            <w:rFonts w:ascii="Times New Roman" w:hAnsi="Times New Roman" w:cs="Comic Sans MS"/>
            <w:sz w:val="20"/>
            <w:szCs w:val="20"/>
          </w:rPr>
          <w:t>Les rites positifs du deuil. - Description de ces rites</w:t>
        </w:r>
      </w:hyperlink>
      <w:r w:rsidRPr="00FB35F7">
        <w:rPr>
          <w:rFonts w:ascii="Times New Roman" w:hAnsi="Times New Roman" w:cs="Comic Sans MS"/>
          <w:sz w:val="20"/>
          <w:szCs w:val="20"/>
        </w:rPr>
        <w:t xml:space="preserv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xml:space="preserve">- </w:t>
      </w:r>
      <w:hyperlink w:anchor="livre_3_chap_5_2" w:history="1">
        <w:r w:rsidRPr="00FB35F7">
          <w:rPr>
            <w:rStyle w:val="Collegamentoipertestuale"/>
            <w:rFonts w:ascii="Times New Roman" w:hAnsi="Times New Roman" w:cs="Comic Sans MS"/>
            <w:sz w:val="20"/>
            <w:szCs w:val="20"/>
          </w:rPr>
          <w:t>Comment ils s'expliquent</w:t>
        </w:r>
      </w:hyperlink>
      <w:r w:rsidRPr="00FB35F7">
        <w:rPr>
          <w:rFonts w:ascii="Times New Roman" w:hAnsi="Times New Roman" w:cs="Comic Sans MS"/>
          <w:sz w:val="20"/>
          <w:szCs w:val="20"/>
        </w:rPr>
        <w:t xml:space="preserve">. - Ils ne sont pas une manifestation de sentiments privés. - La méchanceté prêtée à l'âme du mort ne peut pas davantage en rendre compte. - Ils tiennent à l'état d'esprit dans lequel se trouve le groupe. - Analyse de cet état. - Comment il prend fin par le deuil. - Changements parallèles dans la manière dont l'âme du mort est conçue.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w:t>
      </w:r>
      <w:hyperlink w:anchor="livre_3_chap_5_3" w:history="1">
        <w:r w:rsidRPr="00FB35F7">
          <w:rPr>
            <w:rStyle w:val="Collegamentoipertestuale"/>
            <w:rFonts w:ascii="Times New Roman" w:hAnsi="Times New Roman" w:cs="Comic Sans MS"/>
            <w:sz w:val="20"/>
            <w:szCs w:val="20"/>
          </w:rPr>
          <w:t>Autres rites piaculaires : à la suite d'un deuil public, d'une récolte insuffisante, d'une sécheresse, d'une aurore astrale</w:t>
        </w:r>
      </w:hyperlink>
      <w:r w:rsidRPr="00FB35F7">
        <w:rPr>
          <w:rFonts w:ascii="Times New Roman" w:hAnsi="Times New Roman" w:cs="Comic Sans MS"/>
          <w:sz w:val="20"/>
          <w:szCs w:val="20"/>
        </w:rPr>
        <w:t xml:space="preserve">. - Rareté de ces rites en Australie. - Comment ils s'expliquent.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w:t>
      </w:r>
      <w:hyperlink w:anchor="livre_3_chap_5_4" w:history="1">
        <w:r w:rsidRPr="00FB35F7">
          <w:rPr>
            <w:rStyle w:val="Collegamentoipertestuale"/>
            <w:rFonts w:ascii="Times New Roman" w:hAnsi="Times New Roman" w:cs="Comic Sans MS"/>
            <w:sz w:val="20"/>
            <w:szCs w:val="20"/>
          </w:rPr>
          <w:t>Les deux formes du sacré: le pur et l'impur</w:t>
        </w:r>
      </w:hyperlink>
      <w:r w:rsidRPr="00FB35F7">
        <w:rPr>
          <w:rFonts w:ascii="Times New Roman" w:hAnsi="Times New Roman" w:cs="Comic Sans MS"/>
          <w:sz w:val="20"/>
          <w:szCs w:val="20"/>
        </w:rPr>
        <w:t xml:space="preserve">. - Leur antagonisme. - Leur parenté. - Ambiguïté de la notion du sacré. - Explication de cette ambiguïté. - Tous les rites présentent le même caractère . </w:t>
      </w:r>
    </w:p>
    <w:p w:rsidR="003F2F8E" w:rsidRPr="00FB35F7" w:rsidRDefault="003F2F8E">
      <w:pPr>
        <w:ind w:firstLine="0"/>
        <w:jc w:val="both"/>
        <w:rPr>
          <w:rFonts w:ascii="Times New Roman" w:hAnsi="Times New Roman" w:cs="Times"/>
        </w:rPr>
      </w:pPr>
    </w:p>
    <w:p w:rsidR="003F2F8E" w:rsidRPr="00FB35F7" w:rsidRDefault="003F2F8E">
      <w:pPr>
        <w:ind w:firstLine="0"/>
        <w:rPr>
          <w:rFonts w:ascii="Times New Roman" w:hAnsi="Times New Roman" w:cs="Times"/>
          <w:b/>
          <w:bCs/>
          <w:color w:val="FF0000"/>
        </w:rPr>
      </w:pPr>
      <w:hyperlink w:anchor="conclusion" w:history="1">
        <w:r w:rsidRPr="00FB35F7">
          <w:rPr>
            <w:rStyle w:val="Collegamentoipertestuale"/>
            <w:rFonts w:ascii="Times New Roman" w:hAnsi="Times New Roman" w:cs="Times"/>
            <w:b/>
            <w:bCs/>
          </w:rPr>
          <w:t>CONCLUSION</w:t>
        </w:r>
      </w:hyperlink>
    </w:p>
    <w:p w:rsidR="003F2F8E" w:rsidRPr="00FB35F7" w:rsidRDefault="003F2F8E">
      <w:pPr>
        <w:ind w:firstLine="0"/>
        <w:rPr>
          <w:rFonts w:ascii="Times New Roman" w:hAnsi="Times New Roman" w:cs="Times"/>
        </w:rPr>
      </w:pPr>
    </w:p>
    <w:p w:rsidR="003F2F8E" w:rsidRPr="00FB35F7" w:rsidRDefault="003F2F8E">
      <w:pPr>
        <w:tabs>
          <w:tab w:val="left" w:pos="900"/>
        </w:tabs>
        <w:ind w:left="900" w:hanging="540"/>
        <w:jc w:val="both"/>
        <w:rPr>
          <w:rFonts w:ascii="Times New Roman" w:hAnsi="Times New Roman" w:cs="Comic Sans MS"/>
          <w:sz w:val="20"/>
          <w:szCs w:val="20"/>
        </w:rPr>
      </w:pPr>
      <w:r w:rsidRPr="00FB35F7">
        <w:rPr>
          <w:rFonts w:ascii="Times New Roman" w:hAnsi="Times New Roman" w:cs="Comic Sans MS"/>
          <w:sz w:val="20"/>
          <w:szCs w:val="20"/>
        </w:rPr>
        <w:t xml:space="preserve">Dans quelle mesure les résultats obtenus peuvent être généralisés. . </w:t>
      </w:r>
    </w:p>
    <w:p w:rsidR="003F2F8E" w:rsidRPr="00FB35F7" w:rsidRDefault="003F2F8E">
      <w:pPr>
        <w:ind w:firstLine="0"/>
        <w:rPr>
          <w:rFonts w:ascii="Times New Roman" w:hAnsi="Times New Roman" w:cs="Comic Sans MS"/>
          <w:sz w:val="20"/>
          <w:szCs w:val="20"/>
        </w:rPr>
      </w:pP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w:t>
      </w:r>
      <w:r w:rsidRPr="00FB35F7">
        <w:rPr>
          <w:rFonts w:ascii="Times New Roman" w:hAnsi="Times New Roman" w:cs="Comic Sans MS"/>
          <w:sz w:val="20"/>
          <w:szCs w:val="20"/>
        </w:rPr>
        <w:tab/>
        <w:t xml:space="preserve">- </w:t>
      </w:r>
      <w:hyperlink w:anchor="conclusion_1" w:history="1">
        <w:r w:rsidRPr="00FB35F7">
          <w:rPr>
            <w:rStyle w:val="Collegamentoipertestuale"/>
            <w:rFonts w:ascii="Times New Roman" w:hAnsi="Times New Roman" w:cs="Comic Sans MS"/>
            <w:sz w:val="20"/>
            <w:szCs w:val="20"/>
          </w:rPr>
          <w:t>La religion s'appuie sur une expérience bien fondée, mais non privilégiée</w:t>
        </w:r>
      </w:hyperlink>
      <w:r w:rsidRPr="00FB35F7">
        <w:rPr>
          <w:rFonts w:ascii="Times New Roman" w:hAnsi="Times New Roman" w:cs="Comic Sans MS"/>
          <w:sz w:val="20"/>
          <w:szCs w:val="20"/>
        </w:rPr>
        <w:t>. - Nécessité d'une science pour atteindre la réalité qui fonde cette expérience. - Quelle est cette réalité : les groupements humains. - Sens humain de la religion. - De l'objec</w:t>
      </w:r>
      <w:r w:rsidRPr="00FB35F7">
        <w:rPr>
          <w:rFonts w:ascii="Comic Sans MS" w:hAnsi="Comic Sans MS" w:cs="Comic Sans MS"/>
          <w:sz w:val="20"/>
          <w:szCs w:val="20"/>
        </w:rPr>
        <w:softHyphen/>
      </w:r>
      <w:r w:rsidRPr="00FB35F7">
        <w:rPr>
          <w:rFonts w:ascii="Times New Roman" w:hAnsi="Times New Roman" w:cs="Comic Sans MS"/>
          <w:sz w:val="20"/>
          <w:szCs w:val="20"/>
        </w:rPr>
        <w:t xml:space="preserve">tion qui oppose la société idéale et la société réelle. Comment s'expliquent, dans cette théorie, l'individualisme et le cosmopolitisme religieux .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w:t>
      </w:r>
      <w:r w:rsidRPr="00FB35F7">
        <w:rPr>
          <w:rFonts w:ascii="Times New Roman" w:hAnsi="Times New Roman" w:cs="Comic Sans MS"/>
          <w:sz w:val="20"/>
          <w:szCs w:val="20"/>
        </w:rPr>
        <w:tab/>
        <w:t xml:space="preserve">- </w:t>
      </w:r>
      <w:hyperlink w:anchor="conclusion_2" w:history="1">
        <w:r w:rsidRPr="00FB35F7">
          <w:rPr>
            <w:rStyle w:val="Collegamentoipertestuale"/>
            <w:rFonts w:ascii="Times New Roman" w:hAnsi="Times New Roman" w:cs="Comic Sans MS"/>
            <w:sz w:val="20"/>
            <w:szCs w:val="20"/>
          </w:rPr>
          <w:t>Ce qu'il y a d'éternel dans la religion</w:t>
        </w:r>
      </w:hyperlink>
      <w:r w:rsidRPr="00FB35F7">
        <w:rPr>
          <w:rFonts w:ascii="Times New Roman" w:hAnsi="Times New Roman" w:cs="Comic Sans MS"/>
          <w:sz w:val="20"/>
          <w:szCs w:val="20"/>
        </w:rPr>
        <w:t xml:space="preserve">. - Du conflit entre la religion et la science; il porte uniquement sur la fonction spéculative de la religion. - Ce que cette fonction paraît appelée à devenir . </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III.</w:t>
      </w:r>
      <w:r w:rsidRPr="00FB35F7">
        <w:rPr>
          <w:rFonts w:ascii="Times New Roman" w:hAnsi="Times New Roman" w:cs="Comic Sans MS"/>
          <w:sz w:val="20"/>
          <w:szCs w:val="20"/>
        </w:rPr>
        <w:tab/>
        <w:t xml:space="preserve">- </w:t>
      </w:r>
      <w:hyperlink w:anchor="conclusion_3" w:history="1">
        <w:r w:rsidRPr="00FB35F7">
          <w:rPr>
            <w:rStyle w:val="Collegamentoipertestuale"/>
            <w:rFonts w:ascii="Times New Roman" w:hAnsi="Times New Roman" w:cs="Comic Sans MS"/>
            <w:sz w:val="20"/>
            <w:szCs w:val="20"/>
          </w:rPr>
          <w:t>Comment la société peut-elle être une source de pensée logique, c'est-à-dire con</w:t>
        </w:r>
        <w:r w:rsidRPr="00FB35F7">
          <w:rPr>
            <w:rStyle w:val="Collegamentoipertestuale"/>
            <w:rFonts w:ascii="Comic Sans MS" w:hAnsi="Comic Sans MS" w:cs="Comic Sans MS"/>
            <w:sz w:val="20"/>
            <w:szCs w:val="20"/>
          </w:rPr>
          <w:softHyphen/>
        </w:r>
        <w:r w:rsidRPr="00FB35F7">
          <w:rPr>
            <w:rStyle w:val="Collegamentoipertestuale"/>
            <w:rFonts w:ascii="Times New Roman" w:hAnsi="Times New Roman" w:cs="Comic Sans MS"/>
            <w:sz w:val="20"/>
            <w:szCs w:val="20"/>
          </w:rPr>
          <w:t>ceptuelle</w:t>
        </w:r>
      </w:hyperlink>
      <w:r w:rsidRPr="00FB35F7">
        <w:rPr>
          <w:rFonts w:ascii="Times New Roman" w:hAnsi="Times New Roman" w:cs="Comic Sans MS"/>
          <w:sz w:val="20"/>
          <w:szCs w:val="20"/>
        </w:rPr>
        <w:t xml:space="preserve"> ? Définition du concept : ne se confond pas avec l'idée générale ; se carac</w:t>
      </w:r>
      <w:r w:rsidRPr="00FB35F7">
        <w:rPr>
          <w:rFonts w:ascii="Comic Sans MS" w:hAnsi="Comic Sans MS" w:cs="Comic Sans MS"/>
          <w:sz w:val="20"/>
          <w:szCs w:val="20"/>
        </w:rPr>
        <w:softHyphen/>
      </w:r>
      <w:r w:rsidRPr="00FB35F7">
        <w:rPr>
          <w:rFonts w:ascii="Times New Roman" w:hAnsi="Times New Roman" w:cs="Comic Sans MS"/>
          <w:sz w:val="20"/>
          <w:szCs w:val="20"/>
        </w:rPr>
        <w:t>térise par son impersonnalité, sa communicabilité. - Il a une origine collective. - L'analyse de son contenu témoigne dans le même sens. - Les représentations col</w:t>
      </w:r>
      <w:r w:rsidRPr="00FB35F7">
        <w:rPr>
          <w:rFonts w:ascii="Comic Sans MS" w:hAnsi="Comic Sans MS" w:cs="Comic Sans MS"/>
          <w:sz w:val="20"/>
          <w:szCs w:val="20"/>
        </w:rPr>
        <w:softHyphen/>
      </w:r>
      <w:r w:rsidRPr="00FB35F7">
        <w:rPr>
          <w:rFonts w:ascii="Times New Roman" w:hAnsi="Times New Roman" w:cs="Comic Sans MS"/>
          <w:sz w:val="20"/>
          <w:szCs w:val="20"/>
        </w:rPr>
        <w:t>lec</w:t>
      </w:r>
      <w:r w:rsidRPr="00FB35F7">
        <w:rPr>
          <w:rFonts w:ascii="Comic Sans MS" w:hAnsi="Comic Sans MS" w:cs="Comic Sans MS"/>
          <w:sz w:val="20"/>
          <w:szCs w:val="20"/>
        </w:rPr>
        <w:softHyphen/>
      </w:r>
      <w:r w:rsidRPr="00FB35F7">
        <w:rPr>
          <w:rFonts w:ascii="Comic Sans MS" w:hAnsi="Comic Sans MS" w:cs="Comic Sans MS"/>
          <w:sz w:val="20"/>
          <w:szCs w:val="20"/>
        </w:rPr>
        <w:softHyphen/>
      </w:r>
      <w:r w:rsidRPr="00FB35F7">
        <w:rPr>
          <w:rFonts w:ascii="Times New Roman" w:hAnsi="Times New Roman" w:cs="Comic Sans MS"/>
          <w:sz w:val="20"/>
          <w:szCs w:val="20"/>
        </w:rPr>
        <w:t xml:space="preserve">tives comme notions-types auxquelles les individus participent. - De l'objection d'après laquelle elles ne seraient impersonnelles qu'à condition d'être vraies, - La pensée conceptuelle est contemporaine de l'humanité. </w:t>
      </w:r>
    </w:p>
    <w:p w:rsidR="003F2F8E" w:rsidRPr="00FB35F7" w:rsidRDefault="003F2F8E">
      <w:pPr>
        <w:pStyle w:val="Corpodeltesto2"/>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t>IV.</w:t>
      </w:r>
      <w:r w:rsidRPr="00FB35F7">
        <w:rPr>
          <w:rFonts w:ascii="Times New Roman" w:hAnsi="Times New Roman" w:cs="Comic Sans MS"/>
          <w:sz w:val="20"/>
          <w:szCs w:val="20"/>
        </w:rPr>
        <w:tab/>
        <w:t xml:space="preserve">- </w:t>
      </w:r>
      <w:hyperlink w:anchor="conclusion_4" w:history="1">
        <w:r w:rsidRPr="00FB35F7">
          <w:rPr>
            <w:rStyle w:val="Collegamentoipertestuale"/>
            <w:rFonts w:ascii="Times New Roman" w:hAnsi="Times New Roman" w:cs="Comic Sans MS"/>
            <w:sz w:val="20"/>
            <w:szCs w:val="20"/>
          </w:rPr>
          <w:t>Comment les catégories expriment des choses sociales</w:t>
        </w:r>
      </w:hyperlink>
      <w:r w:rsidRPr="00FB35F7">
        <w:rPr>
          <w:rFonts w:ascii="Times New Roman" w:hAnsi="Times New Roman" w:cs="Comic Sans MS"/>
          <w:sz w:val="20"/>
          <w:szCs w:val="20"/>
        </w:rPr>
        <w:t>. - La catégorie par excellence est le concept de totalité qui ne peut être suggéré que par la société. - Pourquoi les relations qu'expriment les catégories ne pouvaient devenir conscientes que dans la société. - La société n'est pas un être alogique. - Comment les catégories tendent à se détacher des groupements géographiques déterminés</w:t>
      </w:r>
    </w:p>
    <w:p w:rsidR="003F2F8E" w:rsidRPr="00FB35F7" w:rsidRDefault="003F2F8E">
      <w:pPr>
        <w:tabs>
          <w:tab w:val="left" w:pos="900"/>
        </w:tabs>
        <w:spacing w:before="60" w:after="60"/>
        <w:ind w:left="907" w:hanging="547"/>
        <w:rPr>
          <w:rFonts w:ascii="Times New Roman" w:hAnsi="Times New Roman" w:cs="Comic Sans MS"/>
          <w:sz w:val="20"/>
          <w:szCs w:val="20"/>
        </w:rPr>
      </w:pPr>
      <w:r w:rsidRPr="00FB35F7">
        <w:rPr>
          <w:rFonts w:ascii="Times New Roman" w:hAnsi="Times New Roman" w:cs="Comic Sans MS"/>
          <w:sz w:val="20"/>
          <w:szCs w:val="20"/>
        </w:rPr>
        <w:lastRenderedPageBreak/>
        <w:tab/>
        <w:t xml:space="preserve">Unité de la science, d'une part, de la morale et de la religion de l'autre. - Comment la société rend compte de cette unité. - Explication du rôle attribué à la société : sa puissance créatrice. - Répercussions de la sociologie sur la science de l'homme. </w:t>
      </w:r>
    </w:p>
    <w:p w:rsidR="003F2F8E" w:rsidRPr="00FB35F7" w:rsidRDefault="003F2F8E">
      <w:pPr>
        <w:ind w:firstLine="0"/>
        <w:rPr>
          <w:rFonts w:ascii="Times New Roman" w:hAnsi="Times New Roman" w:cs="Times"/>
        </w:rPr>
      </w:pPr>
    </w:p>
    <w:p w:rsidR="003F2F8E" w:rsidRPr="00FB35F7" w:rsidRDefault="003F2F8E">
      <w:pPr>
        <w:jc w:val="both"/>
        <w:rPr>
          <w:rFonts w:ascii="Times New Roman" w:hAnsi="Times New Roman"/>
        </w:rPr>
      </w:pPr>
      <w:r w:rsidRPr="00FB35F7">
        <w:rPr>
          <w:rFonts w:ascii="Times New Roman" w:hAnsi="Times New Roman"/>
        </w:rPr>
        <w:br w:type="page"/>
      </w:r>
    </w:p>
    <w:p w:rsidR="003F2F8E" w:rsidRPr="00FB35F7" w:rsidRDefault="003F2F8E">
      <w:pPr>
        <w:jc w:val="both"/>
        <w:rPr>
          <w:rFonts w:ascii="Times New Roman" w:hAnsi="Times New Roman"/>
        </w:rPr>
      </w:pPr>
    </w:p>
    <w:p w:rsidR="003F2F8E" w:rsidRPr="00FB35F7" w:rsidRDefault="003F2F8E">
      <w:pPr>
        <w:jc w:val="both"/>
        <w:rPr>
          <w:rFonts w:ascii="Times New Roman" w:hAnsi="Times New Roman"/>
        </w:rPr>
      </w:pPr>
    </w:p>
    <w:p w:rsidR="003F2F8E" w:rsidRPr="00FB35F7" w:rsidRDefault="003F2F8E">
      <w:pPr>
        <w:jc w:val="both"/>
        <w:rPr>
          <w:rFonts w:ascii="Times New Roman" w:hAnsi="Times New Roman"/>
        </w:rPr>
      </w:pPr>
    </w:p>
    <w:p w:rsidR="003F2F8E" w:rsidRPr="00FB35F7" w:rsidRDefault="003F2F8E">
      <w:pPr>
        <w:jc w:val="both"/>
        <w:rPr>
          <w:rFonts w:ascii="Times New Roman" w:hAnsi="Times New Roman"/>
        </w:rPr>
      </w:pPr>
    </w:p>
    <w:p w:rsidR="003F2F8E" w:rsidRPr="00FB35F7" w:rsidRDefault="003F2F8E">
      <w:pPr>
        <w:jc w:val="both"/>
        <w:rPr>
          <w:rFonts w:ascii="Times New Roman" w:hAnsi="Times New Roman"/>
        </w:rPr>
      </w:pPr>
    </w:p>
    <w:p w:rsidR="003F2F8E" w:rsidRPr="00FB35F7" w:rsidRDefault="003F2F8E">
      <w:pPr>
        <w:jc w:val="both"/>
        <w:rPr>
          <w:rFonts w:ascii="Times New Roman" w:hAnsi="Times New Roman"/>
        </w:rPr>
      </w:pPr>
    </w:p>
    <w:p w:rsidR="003F2F8E" w:rsidRPr="00FB35F7" w:rsidRDefault="003F2F8E">
      <w:pPr>
        <w:pStyle w:val="livre"/>
        <w:rPr>
          <w:rFonts w:ascii="Times New Roman" w:hAnsi="Times New Roman"/>
        </w:rPr>
      </w:pPr>
      <w:bookmarkStart w:id="3" w:name="livre_3"/>
      <w:r w:rsidRPr="00FB35F7">
        <w:rPr>
          <w:rFonts w:ascii="Times New Roman" w:hAnsi="Times New Roman"/>
        </w:rPr>
        <w:t>LIVRE III</w:t>
      </w:r>
    </w:p>
    <w:p w:rsidR="003F2F8E" w:rsidRPr="00FB35F7" w:rsidRDefault="003F2F8E">
      <w:pPr>
        <w:jc w:val="both"/>
        <w:rPr>
          <w:rFonts w:ascii="Times New Roman" w:hAnsi="Times New Roman" w:cs="Times"/>
        </w:rPr>
      </w:pPr>
    </w:p>
    <w:p w:rsidR="003F2F8E" w:rsidRPr="00FB35F7" w:rsidRDefault="003F2F8E">
      <w:pPr>
        <w:pStyle w:val="livrest"/>
        <w:rPr>
          <w:rFonts w:ascii="Times New Roman" w:hAnsi="Times New Roman"/>
        </w:rPr>
      </w:pPr>
      <w:r w:rsidRPr="00FB35F7">
        <w:rPr>
          <w:rFonts w:ascii="Times New Roman" w:hAnsi="Times New Roman"/>
        </w:rPr>
        <w:t>LES PRINCIPALES</w:t>
      </w:r>
    </w:p>
    <w:p w:rsidR="003F2F8E" w:rsidRPr="00FB35F7" w:rsidRDefault="003F2F8E">
      <w:pPr>
        <w:pStyle w:val="livrest"/>
        <w:rPr>
          <w:rFonts w:ascii="Times New Roman" w:hAnsi="Times New Roman"/>
        </w:rPr>
      </w:pPr>
      <w:r w:rsidRPr="00FB35F7">
        <w:rPr>
          <w:rFonts w:ascii="Times New Roman" w:hAnsi="Times New Roman"/>
        </w:rPr>
        <w:t>ATTITUDES RITUELLES</w:t>
      </w:r>
    </w:p>
    <w:bookmarkEnd w:id="3"/>
    <w:p w:rsidR="003F2F8E" w:rsidRPr="00FB35F7" w:rsidRDefault="003F2F8E">
      <w:pPr>
        <w:jc w:val="both"/>
        <w:rPr>
          <w:rFonts w:ascii="Times New Roman" w:hAnsi="Times New Roman"/>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rPr>
      </w:pPr>
    </w:p>
    <w:p w:rsidR="003F2F8E" w:rsidRPr="00FB35F7" w:rsidRDefault="003F2F8E">
      <w:pPr>
        <w:jc w:val="both"/>
        <w:rPr>
          <w:rFonts w:ascii="Times New Roman" w:hAnsi="Times New Roman"/>
        </w:rPr>
      </w:pPr>
      <w:r w:rsidRPr="00FB35F7">
        <w:rPr>
          <w:rFonts w:ascii="Times New Roman" w:hAnsi="Times New Roman"/>
        </w:rPr>
        <w:br w:type="page"/>
      </w:r>
    </w:p>
    <w:p w:rsidR="003F2F8E" w:rsidRPr="00FB35F7" w:rsidRDefault="003F2F8E">
      <w:pPr>
        <w:jc w:val="both"/>
        <w:rPr>
          <w:rFonts w:ascii="Times New Roman" w:hAnsi="Times New Roman"/>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Titreniveau1"/>
        <w:rPr>
          <w:rFonts w:ascii="Times New Roman" w:hAnsi="Times New Roman"/>
        </w:rPr>
      </w:pPr>
      <w:bookmarkStart w:id="4" w:name="livre_3_chap_1"/>
      <w:r w:rsidRPr="00FB35F7">
        <w:rPr>
          <w:rFonts w:ascii="Times New Roman" w:hAnsi="Times New Roman"/>
        </w:rPr>
        <w:t>CHAPITRE I</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Titreniveau2"/>
        <w:rPr>
          <w:rFonts w:ascii="Times New Roman" w:hAnsi="Times New Roman"/>
        </w:rPr>
      </w:pPr>
      <w:r w:rsidRPr="00FB35F7">
        <w:rPr>
          <w:rFonts w:ascii="Times New Roman" w:hAnsi="Times New Roman"/>
        </w:rPr>
        <w:t>LE CULTE NÉGATIF</w:t>
      </w:r>
      <w:r w:rsidRPr="00FB35F7">
        <w:br/>
      </w:r>
      <w:r w:rsidRPr="00FB35F7">
        <w:rPr>
          <w:rFonts w:ascii="Times New Roman" w:hAnsi="Times New Roman"/>
        </w:rPr>
        <w:t>ET SES FONCTIONS.</w:t>
      </w:r>
    </w:p>
    <w:p w:rsidR="003F2F8E" w:rsidRPr="00FB35F7" w:rsidRDefault="003F2F8E">
      <w:pPr>
        <w:pStyle w:val="Titreniveau2"/>
        <w:rPr>
          <w:rFonts w:ascii="Times New Roman" w:hAnsi="Times New Roman"/>
        </w:rPr>
      </w:pPr>
      <w:r w:rsidRPr="00FB35F7">
        <w:rPr>
          <w:rFonts w:ascii="Times New Roman" w:hAnsi="Times New Roman"/>
        </w:rPr>
        <w:t>LES RITES ASCÉTIQUES</w:t>
      </w:r>
    </w:p>
    <w:bookmarkEnd w:id="4"/>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n'avons pas l'intention de tenter, dans ce qui suit, une description complète du culte primitif. Avant tout préoccupé d'atteindre ce qu'il y a de plus élémentaire et de plus fonda</w:t>
      </w:r>
      <w:r w:rsidRPr="00FB35F7">
        <w:rPr>
          <w:rFonts w:ascii="Times" w:hAnsi="Times" w:cs="Times"/>
        </w:rPr>
        <w:softHyphen/>
      </w:r>
      <w:r w:rsidRPr="00FB35F7">
        <w:rPr>
          <w:rFonts w:ascii="Times New Roman" w:hAnsi="Times New Roman" w:cs="Times"/>
        </w:rPr>
        <w:t>men</w:t>
      </w:r>
      <w:r w:rsidRPr="00FB35F7">
        <w:rPr>
          <w:rFonts w:ascii="Times" w:hAnsi="Times" w:cs="Times"/>
        </w:rPr>
        <w:softHyphen/>
      </w:r>
      <w:r w:rsidRPr="00FB35F7">
        <w:rPr>
          <w:rFonts w:ascii="Times New Roman" w:hAnsi="Times New Roman" w:cs="Times"/>
        </w:rPr>
        <w:t>tal dans la vie religieuse, nous ne chercherons pas à reconstituer dans le détail la multi</w:t>
      </w:r>
      <w:r w:rsidRPr="00FB35F7">
        <w:rPr>
          <w:rFonts w:ascii="Times" w:hAnsi="Times" w:cs="Times"/>
        </w:rPr>
        <w:softHyphen/>
      </w:r>
      <w:r w:rsidRPr="00FB35F7">
        <w:rPr>
          <w:rFonts w:ascii="Times New Roman" w:hAnsi="Times New Roman" w:cs="Times"/>
        </w:rPr>
        <w:t>pli</w:t>
      </w:r>
      <w:r w:rsidRPr="00FB35F7">
        <w:rPr>
          <w:rFonts w:ascii="Times" w:hAnsi="Times" w:cs="Times"/>
        </w:rPr>
        <w:softHyphen/>
      </w:r>
      <w:r w:rsidRPr="00FB35F7">
        <w:rPr>
          <w:rFonts w:ascii="Times New Roman" w:hAnsi="Times New Roman" w:cs="Times"/>
        </w:rPr>
        <w:t>cité, souvent confuse, de tous les gestes rituels. Mais nous voudrions, à travers l'extrême diversité des pratiques, tâcher de saisir les attitudes les plus caractéristiques que le primitif observe dans la célébration de son culte, classer les formes les plus générales de ses rites, en déterminer les origines et la signification, afin de contrôler et, s'il y a lieu, de préciser les résultats auxquels nous a conduit l'analyse des croyances </w:t>
      </w:r>
      <w:r w:rsidRPr="00FB35F7">
        <w:rPr>
          <w:rStyle w:val="Rimandonotaapidipagina"/>
          <w:rFonts w:ascii="Times" w:hAnsi="Times" w:cs="Times"/>
        </w:rPr>
        <w:footnoteReference w:id="1"/>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Tout culte présente un double aspect : l'un négatif, l'autre positif. Sans doute, dans la réalité, les deux sortes de rites que nous dénommons ainsi sont étroitement associés ; nous verrons qu'ils se supposent l'un l'autre. Mais ils ne laissent pas d'être différents et, ne serait-ce que pour comprendre leurs rapports, il est nécessaire de les distinguer.</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i/>
          <w:iCs/>
        </w:rPr>
      </w:pPr>
    </w:p>
    <w:p w:rsidR="003F2F8E" w:rsidRPr="00FB35F7" w:rsidRDefault="003F2F8E">
      <w:pPr>
        <w:pStyle w:val="section"/>
        <w:rPr>
          <w:rFonts w:ascii="Times New Roman" w:hAnsi="Times New Roman"/>
        </w:rPr>
      </w:pPr>
      <w:bookmarkStart w:id="5" w:name="livre_3_chap_1_1"/>
      <w:r w:rsidRPr="00FB35F7">
        <w:rPr>
          <w:rFonts w:ascii="Times New Roman" w:hAnsi="Times New Roman"/>
        </w:rPr>
        <w:t>I</w:t>
      </w:r>
    </w:p>
    <w:bookmarkEnd w:id="5"/>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Les êtres sacrés sont, par définition, des êtres séparés. Ce qui les caractérise, c'est que, entre eux et les êtres profanes, il y a une solution de continuité. Normalement, les uns sont en </w:t>
      </w:r>
      <w:r w:rsidRPr="00FB35F7">
        <w:rPr>
          <w:rFonts w:ascii="Times New Roman" w:hAnsi="Times New Roman" w:cs="Times"/>
        </w:rPr>
        <w:lastRenderedPageBreak/>
        <w:t>dehors des autres. Tout un ensemble de rites a pour objet de réaliser cet état de séparation qui est essentiel. Puisqu'ils ont pour fonction de prévenir les mélanges et les rapprochements indus, d'empêcher qu'un de ces deux domaines n'empiète sur l'autre, ils ne peuvent édicter que des abstentions, c'est-à-dire des actes négatifs. Pour cette raison, nous proposons d'appe</w:t>
      </w:r>
      <w:r w:rsidRPr="00FB35F7">
        <w:rPr>
          <w:rFonts w:ascii="Times" w:hAnsi="Times" w:cs="Times"/>
        </w:rPr>
        <w:softHyphen/>
      </w:r>
      <w:r w:rsidRPr="00FB35F7">
        <w:rPr>
          <w:rFonts w:ascii="Times New Roman" w:hAnsi="Times New Roman" w:cs="Times"/>
        </w:rPr>
        <w:t>ler culte négatif le système formé par ces rites spéciaux. Ils ne prescrivent pas au fidèle d'accomplir des prestations effectives, mais se bornent à lui interdire certaines façons d'agir ; ils prennent donc tous la forme de l'interdit, ou, comme on dit couramment en ethnographie, du tabou. Ce dernier mot est celui qui est employé dans les langues polynésiennes pour désigner l'institution en vertu de laquelle certaines choses sont retirées de l'usage commun </w:t>
      </w:r>
      <w:r w:rsidRPr="00FB35F7">
        <w:rPr>
          <w:rStyle w:val="Rimandonotaapidipagina"/>
          <w:rFonts w:ascii="Times" w:hAnsi="Times" w:cs="Times"/>
        </w:rPr>
        <w:footnoteReference w:id="2"/>
      </w:r>
      <w:r w:rsidRPr="00FB35F7">
        <w:rPr>
          <w:rFonts w:ascii="Times New Roman" w:hAnsi="Times New Roman" w:cs="Times"/>
        </w:rPr>
        <w:t>.; c'est aussi un adjectif qui exprime le caractère distinctif de ces sortes de choses. Nous avons eu déjà l'occasion de montrer combien il est fâcheux de transformer ainsi, en un terme générique, une expression étroitement locale et dialectale. Il n'y a pas de religion où il n'existe des interdictions et où elles ne jouent un rôle considérable ; il est donc regrettable que la terminologie consacrée paraisse faire, d'une institution aussi universelle, une particu</w:t>
      </w:r>
      <w:r w:rsidRPr="00FB35F7">
        <w:rPr>
          <w:rFonts w:ascii="Times" w:hAnsi="Times" w:cs="Times"/>
        </w:rPr>
        <w:softHyphen/>
      </w:r>
      <w:r w:rsidRPr="00FB35F7">
        <w:rPr>
          <w:rFonts w:ascii="Times New Roman" w:hAnsi="Times New Roman" w:cs="Times"/>
        </w:rPr>
        <w:t>larité propre à la Polynésie </w:t>
      </w:r>
      <w:r w:rsidRPr="00FB35F7">
        <w:rPr>
          <w:rStyle w:val="Rimandonotaapidipagina"/>
          <w:rFonts w:ascii="Times" w:hAnsi="Times" w:cs="Times"/>
        </w:rPr>
        <w:footnoteReference w:id="3"/>
      </w:r>
      <w:r w:rsidRPr="00FB35F7">
        <w:rPr>
          <w:rFonts w:ascii="Times New Roman" w:hAnsi="Times New Roman" w:cs="Times"/>
        </w:rPr>
        <w:t xml:space="preserve">. L'expression </w:t>
      </w:r>
      <w:r w:rsidRPr="00FB35F7">
        <w:rPr>
          <w:rFonts w:ascii="Times New Roman" w:hAnsi="Times New Roman" w:cs="Times"/>
          <w:i/>
          <w:iCs/>
        </w:rPr>
        <w:t xml:space="preserve">d'interdits ou d'interdictions </w:t>
      </w:r>
      <w:r w:rsidRPr="00FB35F7">
        <w:rPr>
          <w:rFonts w:ascii="Times New Roman" w:hAnsi="Times New Roman" w:cs="Times"/>
        </w:rPr>
        <w:t>nous paraît de beaucoup préférable. Cependant, le mot de tabou, comme celui de totem, est tellement usité qu'il y aurait un excès de purisme à le prohiber systématiquement ; les inconvénients qu'il présente sont, d'ailleurs, atténués une fois qu'on a pris soin d'en préciser le sens et la portée.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il y a des interdits d'espèces différentes et qu'il importe de distinguer ; car nous n'avons pas à traiter, dans le présent chapitre, de toutes les sortes d'interdits.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Tout d'abord, en dehors de ceux qui relèvent de la religion, il en est qui ressortissent à la magie. Les uns et les autres ont ceci de commun qu'ils édictent des incompatibilités entre certaines choses et prescrivent de séparer les choses ainsi déclarées incompatibles. Mais il y a entre eux de très graves différences. D'abord, les sanctions ne sont pas les mêmes dans les deux cas. Sans doute, comme nous le dirons plus loin, la violation des interdits religieux passe souvent pour déterminer mécaniquement des désordres matériels dont le coupable est censé pâtir et qui sont considérés comme une sanction de son acte. Mais, alors même qu'elle se produit réellement, cette sanction spontanée et automatique ne reste pas la seule; elle est toujours complétée par une autre qui suppose une intervention humaine. Ou bien une peine proprement dite s'y surajoute, quand elle ne l'anticipe pas, et cette peine est délibérément infligée par les hommes ; ou, tout au moins, il y a blâme, réprobation publique. Alors même que le sacrilège a été comme puni par la maladie ou la mort naturelle de son auteur, il est, de plus, flétri ; il offense l'opinion qui réagit contre lui; il met celui qui l'a commis en état de faute. Au contraire, l'interdiction magique n'est sanctionnée que par les conséquences maté</w:t>
      </w:r>
      <w:r w:rsidRPr="00FB35F7">
        <w:rPr>
          <w:rFonts w:ascii="Times" w:hAnsi="Times" w:cs="Times"/>
        </w:rPr>
        <w:softHyphen/>
      </w:r>
      <w:r w:rsidRPr="00FB35F7">
        <w:rPr>
          <w:rFonts w:ascii="Times New Roman" w:hAnsi="Times New Roman" w:cs="Times"/>
        </w:rPr>
        <w:t>rielles qu'est censé produire, avec une sorte de nécessité physique, l'acte interdit. En déso</w:t>
      </w:r>
      <w:r w:rsidRPr="00FB35F7">
        <w:rPr>
          <w:rFonts w:ascii="Times" w:hAnsi="Times" w:cs="Times"/>
        </w:rPr>
        <w:softHyphen/>
      </w:r>
      <w:r w:rsidRPr="00FB35F7">
        <w:rPr>
          <w:rFonts w:ascii="Times New Roman" w:hAnsi="Times New Roman" w:cs="Times"/>
        </w:rPr>
        <w:t>béis</w:t>
      </w:r>
      <w:r w:rsidRPr="00FB35F7">
        <w:rPr>
          <w:rFonts w:ascii="Times" w:hAnsi="Times" w:cs="Times"/>
        </w:rPr>
        <w:softHyphen/>
      </w:r>
      <w:r w:rsidRPr="00FB35F7">
        <w:rPr>
          <w:rFonts w:ascii="Times New Roman" w:hAnsi="Times New Roman" w:cs="Times"/>
        </w:rPr>
        <w:t>sant, on court des risques, comme ceux auxquels s'expose un malade qui ne suit pas les avis de son médecin ; mais la désobéissance, dans ce cas, ne constitue pas une faute ; elle n'indi</w:t>
      </w:r>
      <w:r w:rsidRPr="00FB35F7">
        <w:rPr>
          <w:rFonts w:ascii="Times" w:hAnsi="Times" w:cs="Times"/>
        </w:rPr>
        <w:softHyphen/>
      </w:r>
      <w:r w:rsidRPr="00FB35F7">
        <w:rPr>
          <w:rFonts w:ascii="Times New Roman" w:hAnsi="Times New Roman" w:cs="Times"/>
        </w:rPr>
        <w:t xml:space="preserve">gne pas. Il n'y a pas de péché magique. Cette différence dans les sanctions tient, </w:t>
      </w:r>
      <w:r w:rsidRPr="00FB35F7">
        <w:rPr>
          <w:rFonts w:ascii="Times New Roman" w:hAnsi="Times New Roman" w:cs="Times"/>
        </w:rPr>
        <w:lastRenderedPageBreak/>
        <w:t>d'ailleurs, à une différence profonde dans la nature des interdits. L'interdit religieux implique néces</w:t>
      </w:r>
      <w:r w:rsidRPr="00FB35F7">
        <w:rPr>
          <w:rFonts w:ascii="Times" w:hAnsi="Times" w:cs="Times"/>
        </w:rPr>
        <w:softHyphen/>
      </w:r>
      <w:r w:rsidRPr="00FB35F7">
        <w:rPr>
          <w:rFonts w:ascii="Times New Roman" w:hAnsi="Times New Roman" w:cs="Times"/>
        </w:rPr>
        <w:t>sairement la notion du sacré ; il vient du respect que l'objet sacré inspire et il a pour but d'empêcher qu'il soit manqué à ce respect. Au contraire, les interdits magiques ne supposent que la notion toute laïque de propriété. Les choses que le magicien recommande de tenir séparées sont celles qui, en raison de leurs propriétés caractéristiques, ne peuvent être mêlées ou rapprochées sans dangers. Si même il lui arrive d'inviter ses clients à se tenir à distance de certaines choses sacrées, ce n'est pas par respect pour elles et de peur qu'elles ne soient profa</w:t>
      </w:r>
      <w:r w:rsidRPr="00FB35F7">
        <w:rPr>
          <w:rFonts w:ascii="Times" w:hAnsi="Times" w:cs="Times"/>
        </w:rPr>
        <w:softHyphen/>
      </w:r>
      <w:r w:rsidRPr="00FB35F7">
        <w:rPr>
          <w:rFonts w:ascii="Times New Roman" w:hAnsi="Times New Roman" w:cs="Times"/>
        </w:rPr>
        <w:t>nées, car la magie, nous le savons, vit de profanations </w:t>
      </w:r>
      <w:r w:rsidRPr="00FB35F7">
        <w:rPr>
          <w:rStyle w:val="Rimandonotaapidipagina"/>
          <w:rFonts w:ascii="Times" w:hAnsi="Times" w:cs="Times"/>
        </w:rPr>
        <w:footnoteReference w:id="4"/>
      </w:r>
      <w:r w:rsidRPr="00FB35F7">
        <w:rPr>
          <w:rFonts w:ascii="Times New Roman" w:hAnsi="Times New Roman" w:cs="Times"/>
        </w:rPr>
        <w:t xml:space="preserve"> ; c'est uniquement pour des raisons d'utilité temporelle. En un mot, les interdits religieux sont des impératifs catégoriques ; les autres sont des maximes utilitaires, première forme des interdits hygiéniques et médicaux. On ne peut, sans confusion, étudier simultanément et sous un même nom deux ordres de faits aussi différents. Nous n'avons à nous occuper ici que des interdictions religieuses </w:t>
      </w:r>
      <w:r w:rsidRPr="00FB35F7">
        <w:rPr>
          <w:rStyle w:val="Rimandonotaapidipagina"/>
          <w:rFonts w:ascii="Times" w:hAnsi="Times" w:cs="Times"/>
        </w:rPr>
        <w:footnoteReference w:id="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entre ces dernières elles-mêmes, une nouvelle distinction est nécessaire.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y a des interdits religieux qui ont pour objet de séparer, les unes des autres, des choses sacrées d'espèces différentes. On se rappelle, par exemple, comment, chez les Wakelbura, l'échafaud sur lequel le mort est exposé doit être exclusivement construit avec des matériaux qui ressortissent à la phratrie du défunt ; c'est dire que tout contact est interdit entre le mort, qui est sacré, et les choses de l'autre phratrie, qui sont sacrées, elles aussi, mais à des titres différents. Ailleurs, les armes dont on se sert pour chasser un animal ne doivent pas être faites d'un bois qui soit classé dans le même groupe social que l'animal lui-même </w:t>
      </w:r>
      <w:r w:rsidRPr="00FB35F7">
        <w:rPr>
          <w:rStyle w:val="Rimandonotaapidipagina"/>
          <w:rFonts w:ascii="Times" w:hAnsi="Times" w:cs="Times"/>
        </w:rPr>
        <w:footnoteReference w:id="6"/>
      </w:r>
      <w:r w:rsidRPr="00FB35F7">
        <w:rPr>
          <w:rFonts w:ascii="Times New Roman" w:hAnsi="Times New Roman" w:cs="Times"/>
        </w:rPr>
        <w:t xml:space="preserve"> . Mais les plus importantes de ces interdictions sont celles que nous étudierons dans un prochain chapitre: elles sont destinées à prévenir toute communication entre le sacré pur et le sacré impur, entre le sacré faste et le sacré néfaste. Tous ces interdits ont une commune caractéris</w:t>
      </w:r>
      <w:r w:rsidRPr="00FB35F7">
        <w:rPr>
          <w:rFonts w:ascii="Times" w:hAnsi="Times" w:cs="Times"/>
        </w:rPr>
        <w:softHyphen/>
      </w:r>
      <w:r w:rsidRPr="00FB35F7">
        <w:rPr>
          <w:rFonts w:ascii="Times New Roman" w:hAnsi="Times New Roman" w:cs="Times"/>
        </w:rPr>
        <w:t>tique : ils viennent, non de ce qu'il y a des choses sacrées et d'autres qui ne le sont pas, mais de ce qu'entre les choses sacrées il existe des rapports de disconvenance et d'incompatibilité. Ils ne tiennent donc pas à ce qu'il y a d'essentiel dans l'idée du sacré. Aussi l'observance de ces prohibitions ne peut-elle donner lieu qu'à des rites isolés, particuliers et presque exceptionnels ; mais elle ne saurait constituer un culte proprement dit, car un culte est fait, avant tout, de rapports réguliers entre le profane et le sacré comme tel.</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Mais il existe un autre système d'interdictions religieuses beaucoup plus étendu et plus important : c'est celui qui sépare, non des espèces différentes de choses sacrées, mais tout ce qui est sacré d'avec tout ce qui est profane. Il dérive donc immédiatement de la notion même du sacré qu'il se borne à exprimer et à réaliser. Aussi fournit-il la matière d'un véritable culte et même d'un culte qui est à la base de tous les autres ; car l'attitude qu'il prescrit est celle dont le fidèle ne doit jamais se départir dans ses rapports avec les êtres sacrés. C'est ce que </w:t>
      </w:r>
      <w:r w:rsidRPr="00FB35F7">
        <w:rPr>
          <w:rFonts w:ascii="Times New Roman" w:hAnsi="Times New Roman" w:cs="Times"/>
        </w:rPr>
        <w:lastRenderedPageBreak/>
        <w:t>nous appelons le culte négatif. On peut donc dire de ces interdits qu'ils sont les interdits religieux par excellence </w:t>
      </w:r>
      <w:r w:rsidRPr="00FB35F7">
        <w:rPr>
          <w:rStyle w:val="Rimandonotaapidipagina"/>
          <w:rFonts w:ascii="Times" w:hAnsi="Times" w:cs="Times"/>
        </w:rPr>
        <w:footnoteReference w:id="7"/>
      </w:r>
      <w:r w:rsidRPr="00FB35F7">
        <w:rPr>
          <w:rFonts w:ascii="Times New Roman" w:hAnsi="Times New Roman" w:cs="Times"/>
        </w:rPr>
        <w:t>. C'est d'eux seuls qu'il sera question dans les pages qui vont suivre.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ils prennent les formes multiples. Voici les types principaux que l'on observe en Australie.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Avant tout, il y a des interdits de contact : ce sont les tabous primaires dont les autres ne sont guère que des variétés particulières. Ils reposent sur ce principe que le profane ne doit pas toucher le sacré. Déjà nous avons vu qu'en aucun cas les churinga ou les </w:t>
      </w:r>
      <w:r w:rsidRPr="00FB35F7">
        <w:rPr>
          <w:rFonts w:ascii="Times New Roman" w:hAnsi="Times New Roman" w:cs="Times"/>
          <w:i/>
          <w:iCs/>
        </w:rPr>
        <w:t xml:space="preserve">bull-roarers </w:t>
      </w:r>
      <w:r w:rsidRPr="00FB35F7">
        <w:rPr>
          <w:rFonts w:ascii="Times New Roman" w:hAnsi="Times New Roman" w:cs="Times"/>
        </w:rPr>
        <w:t>ne doivent être maniés par des non-initiés. Si les adultes en ont le libre usage, c'est que l'initiation leur a conféré un caractère sacré. Le sang, et tout particulièrement celui qui coule pendant l'initiation, a une vertu religieuse </w:t>
      </w:r>
      <w:r w:rsidRPr="00FB35F7">
        <w:rPr>
          <w:rStyle w:val="Rimandonotaapidipagina"/>
          <w:rFonts w:ascii="Times" w:hAnsi="Times" w:cs="Times"/>
        </w:rPr>
        <w:footnoteReference w:id="8"/>
      </w:r>
      <w:r w:rsidRPr="00FB35F7">
        <w:rPr>
          <w:rFonts w:ascii="Times New Roman" w:hAnsi="Times New Roman" w:cs="Times"/>
        </w:rPr>
        <w:t xml:space="preserve"> ; il est Soumis au même interdit </w:t>
      </w:r>
      <w:r w:rsidRPr="00FB35F7">
        <w:rPr>
          <w:rStyle w:val="Rimandonotaapidipagina"/>
          <w:rFonts w:ascii="Times" w:hAnsi="Times" w:cs="Times"/>
        </w:rPr>
        <w:footnoteReference w:id="9"/>
      </w:r>
      <w:r w:rsidRPr="00FB35F7">
        <w:rPr>
          <w:rFonts w:ascii="Times New Roman" w:hAnsi="Times New Roman" w:cs="Times"/>
        </w:rPr>
        <w:t>. Il en est de même des chevaux </w:t>
      </w:r>
      <w:r w:rsidRPr="00FB35F7">
        <w:rPr>
          <w:rStyle w:val="Rimandonotaapidipagina"/>
          <w:rFonts w:ascii="Times" w:hAnsi="Times" w:cs="Times"/>
        </w:rPr>
        <w:footnoteReference w:id="10"/>
      </w:r>
      <w:r w:rsidRPr="00FB35F7">
        <w:rPr>
          <w:rFonts w:ascii="Times New Roman" w:hAnsi="Times New Roman" w:cs="Times"/>
        </w:rPr>
        <w:t>. Le mort est un être sacré, parce que l'âme qui animait le corps adhère au cadavre ; pour cette raison, il est parfois défendu de porter les ossements du mort autrement qu'enveloppés dans une feuille d'écorce </w:t>
      </w:r>
      <w:r w:rsidRPr="00FB35F7">
        <w:rPr>
          <w:rStyle w:val="Rimandonotaapidipagina"/>
          <w:rFonts w:ascii="Times" w:hAnsi="Times" w:cs="Times"/>
        </w:rPr>
        <w:footnoteReference w:id="11"/>
      </w:r>
      <w:r w:rsidRPr="00FB35F7">
        <w:rPr>
          <w:rFonts w:ascii="Times New Roman" w:hAnsi="Times New Roman" w:cs="Times"/>
        </w:rPr>
        <w:t>. Le lieu même oh s'est produit le décès doit être évité ; car on croit que l'âme du défunt continue à y séjourner. C'est pourquoi on lève le camp et on le transporte à quelque distance </w:t>
      </w:r>
      <w:r w:rsidRPr="00FB35F7">
        <w:rPr>
          <w:rStyle w:val="Rimandonotaapidipagina"/>
          <w:rFonts w:ascii="Times" w:hAnsi="Times" w:cs="Times"/>
        </w:rPr>
        <w:footnoteReference w:id="12"/>
      </w:r>
      <w:r w:rsidRPr="00FB35F7">
        <w:rPr>
          <w:rFonts w:ascii="Times New Roman" w:hAnsi="Times New Roman" w:cs="Times"/>
        </w:rPr>
        <w:t>; dans certains cas, on le détruit avec tout ce qu'il contient </w:t>
      </w:r>
      <w:r w:rsidRPr="00FB35F7">
        <w:rPr>
          <w:rStyle w:val="Rimandonotaapidipagina"/>
          <w:rFonts w:ascii="Times" w:hAnsi="Times" w:cs="Times"/>
        </w:rPr>
        <w:footnoteReference w:id="13"/>
      </w:r>
      <w:r w:rsidRPr="00FB35F7">
        <w:rPr>
          <w:rFonts w:ascii="Times New Roman" w:hAnsi="Times New Roman" w:cs="Times"/>
        </w:rPr>
        <w:t>, et un temps s'écoule avant qu'on puisse revenir au même endroit </w:t>
      </w:r>
      <w:r w:rsidRPr="00FB35F7">
        <w:rPr>
          <w:rStyle w:val="Rimandonotaapidipagina"/>
          <w:rFonts w:ascii="Times" w:hAnsi="Times" w:cs="Times"/>
        </w:rPr>
        <w:footnoteReference w:id="14"/>
      </w:r>
      <w:r w:rsidRPr="00FB35F7">
        <w:rPr>
          <w:rFonts w:ascii="Times New Roman" w:hAnsi="Times New Roman" w:cs="Times"/>
        </w:rPr>
        <w:t>. Il arrive que déjà le mourant fait comme le vide autour de lui : on l'abandonne, après l'avoir installé aussi confortablement que possible </w:t>
      </w:r>
      <w:r w:rsidRPr="00FB35F7">
        <w:rPr>
          <w:rStyle w:val="Rimandonotaapidipagina"/>
          <w:rFonts w:ascii="Times" w:hAnsi="Times" w:cs="Times"/>
        </w:rPr>
        <w:footnoteReference w:id="1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Un contact exceptionnellement intime est celui qui résulte de l'absorption d'un aliment. De là vient l'interdiction de manger les animaux ou les végétaux sacrés, notamment ceux qui </w:t>
      </w:r>
      <w:r w:rsidRPr="00FB35F7">
        <w:rPr>
          <w:rFonts w:ascii="Times New Roman" w:hAnsi="Times New Roman" w:cs="Times"/>
        </w:rPr>
        <w:lastRenderedPageBreak/>
        <w:t>servent de totems </w:t>
      </w:r>
      <w:r w:rsidRPr="00FB35F7">
        <w:rPr>
          <w:rStyle w:val="Rimandonotaapidipagina"/>
          <w:rFonts w:ascii="Times" w:hAnsi="Times" w:cs="Times"/>
        </w:rPr>
        <w:footnoteReference w:id="16"/>
      </w:r>
      <w:r w:rsidRPr="00FB35F7">
        <w:rPr>
          <w:rFonts w:ascii="Times New Roman" w:hAnsi="Times New Roman" w:cs="Times"/>
        </w:rPr>
        <w:t>. Un tel acte apparaît comme tellement sacrilège que la prohibition s'applique même aux adultes ou, tout au moins, à la plupart d'entre eux; seuls, les vieillards atteignent une suffisante dignité religieuse pour n'être pas toujours soumis à cet interdit. On a parfois expliqué cette défense par la parenté mythique qui unit l'homme aux animaux dont il porte le nom ; ils seraient protégés par le sentiment de sympathie qu'ils inspirent en qualité de parents </w:t>
      </w:r>
      <w:r w:rsidRPr="00FB35F7">
        <w:rPr>
          <w:rStyle w:val="Rimandonotaapidipagina"/>
          <w:rFonts w:ascii="Times" w:hAnsi="Times" w:cs="Times"/>
        </w:rPr>
        <w:footnoteReference w:id="17"/>
      </w:r>
      <w:r w:rsidRPr="00FB35F7">
        <w:rPr>
          <w:rFonts w:ascii="Times New Roman" w:hAnsi="Times New Roman" w:cs="Times"/>
        </w:rPr>
        <w:t>. Mais ce qui montre bien que l'interdiction n'a pas pour origine une simple révolte du sentiment de solidarité domestique, c'est que la consommation de la chair prohibée passe pour déterminer automatiquement la maladie et la mort. C'est donc que des forces d'un autre genre sont en jeu, analogues à celles qui, dans toutes les religions, sont censées réagir contre les sacrilèges.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Si, d'ailleurs, certains aliments sont interdits au profane parce qu'ils sont sacrés, d'autres, au contraire, sont interdits, parce que profanes, aux personnes marquées d'un caractère sacré. Ainsi, il est fréquent que des animaux déterminés soient affectés spécialement à l'alimenta</w:t>
      </w:r>
      <w:r w:rsidRPr="00FB35F7">
        <w:rPr>
          <w:rFonts w:ascii="Times" w:hAnsi="Times" w:cs="Times"/>
        </w:rPr>
        <w:softHyphen/>
      </w:r>
      <w:r w:rsidRPr="00FB35F7">
        <w:rPr>
          <w:rFonts w:ascii="Times New Roman" w:hAnsi="Times New Roman" w:cs="Times"/>
        </w:rPr>
        <w:t>tion des femmes; pour cette raison, on croit qu'ils participent de la nature féminine, et, par conséquent, qu'ils sont profanes. Le jeune initié, au contraire, est soumis à un ensemble de rites d'une particulière gravité ; pour pouvoir lui communiquer les vertus qui lui permettront de pénétrer dans le monde des choses sacrées d'où il était exclu jusqu'alors, on fait converger sur lui un faisceau exceptionnellement puissant de forces religieuses. Il se trouve donc dans un état de sainteté qui repousse au loin tout ce qui est profane. Aussi lui est-il défendu de manger du gibier qui est censé ressortir aux femmes </w:t>
      </w:r>
      <w:r w:rsidRPr="00FB35F7">
        <w:rPr>
          <w:rStyle w:val="Rimandonotaapidipagina"/>
          <w:rFonts w:ascii="Times" w:hAnsi="Times" w:cs="Times"/>
        </w:rPr>
        <w:footnoteReference w:id="18"/>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 contact peut s'établir autrement que par le toucher. On est en relations avec une chose par cela seul qu'on la regarde : le regard est une mise en rapports. C'est pourquoi la vue des choses sacrées est, clans certains cas, interdite aux profanes. La femme ne doit jamais voir les instruments du culte ; tout an plus lui est-il permis de les apercevoir de loin </w:t>
      </w:r>
      <w:r w:rsidRPr="00FB35F7">
        <w:rPr>
          <w:rStyle w:val="Rimandonotaapidipagina"/>
          <w:rFonts w:ascii="Times" w:hAnsi="Times" w:cs="Times"/>
        </w:rPr>
        <w:footnoteReference w:id="19"/>
      </w:r>
      <w:r w:rsidRPr="00FB35F7">
        <w:rPr>
          <w:rFonts w:ascii="Times New Roman" w:hAnsi="Times New Roman" w:cs="Times"/>
        </w:rPr>
        <w:t>. Il en est de même des peintures totémiques exécutées sur le corps des officiants à l'occasion de cérémonies particulièrement importantes </w:t>
      </w:r>
      <w:r w:rsidRPr="00FB35F7">
        <w:rPr>
          <w:rStyle w:val="Rimandonotaapidipagina"/>
          <w:rFonts w:ascii="Times" w:hAnsi="Times" w:cs="Times"/>
        </w:rPr>
        <w:footnoteReference w:id="20"/>
      </w:r>
      <w:r w:rsidRPr="00FB35F7">
        <w:rPr>
          <w:rFonts w:ascii="Times New Roman" w:hAnsi="Times New Roman" w:cs="Times"/>
        </w:rPr>
        <w:t xml:space="preserve">. L'exceptionnelle solennité des rites d'initiation fait que, dans certaines tribus, les femmes ne peuvent même pas voir les lieux où ils ont été </w:t>
      </w:r>
      <w:r w:rsidRPr="00FB35F7">
        <w:rPr>
          <w:rFonts w:ascii="Times New Roman" w:hAnsi="Times New Roman" w:cs="Times"/>
        </w:rPr>
        <w:lastRenderedPageBreak/>
        <w:t>célébrés </w:t>
      </w:r>
      <w:r w:rsidRPr="00FB35F7">
        <w:rPr>
          <w:rStyle w:val="Rimandonotaapidipagina"/>
          <w:rFonts w:ascii="Times" w:hAnsi="Times" w:cs="Times"/>
        </w:rPr>
        <w:footnoteReference w:id="21"/>
      </w:r>
      <w:r w:rsidRPr="00FB35F7">
        <w:rPr>
          <w:rFonts w:ascii="Times New Roman" w:hAnsi="Times New Roman" w:cs="Times"/>
        </w:rPr>
        <w:t xml:space="preserve"> ni le néophyte lui-même </w:t>
      </w:r>
      <w:r w:rsidRPr="00FB35F7">
        <w:rPr>
          <w:rStyle w:val="Rimandonotaapidipagina"/>
          <w:rFonts w:ascii="Times" w:hAnsi="Times" w:cs="Times"/>
        </w:rPr>
        <w:footnoteReference w:id="22"/>
      </w:r>
      <w:r w:rsidRPr="00FB35F7">
        <w:rPr>
          <w:rFonts w:ascii="Times New Roman" w:hAnsi="Times New Roman" w:cs="Times"/>
        </w:rPr>
        <w:t>. Le caractère sacré qui est immanent à la cérémonie tout entière se retrouve naturellement dans la personne de ceux qui la dirigent ou qui y prennent une part quelconque ; il en résulte que le novice ne peut lever les yeux sur eux, et la défense survit même après que le rite est accompli </w:t>
      </w:r>
      <w:r w:rsidRPr="00FB35F7">
        <w:rPr>
          <w:rStyle w:val="Rimandonotaapidipagina"/>
          <w:rFonts w:ascii="Times" w:hAnsi="Times" w:cs="Times"/>
        </w:rPr>
        <w:footnoteReference w:id="23"/>
      </w:r>
      <w:r w:rsidRPr="00FB35F7">
        <w:rPr>
          <w:rFonts w:ascii="Times New Roman" w:hAnsi="Times New Roman" w:cs="Times"/>
        </w:rPr>
        <w:t>. Le mort, lui aussi, est parfois soustrait aux regards: sa face est recouverte de manière à ce qu'elle ne puisse être vue </w:t>
      </w:r>
      <w:r w:rsidRPr="00FB35F7">
        <w:rPr>
          <w:rStyle w:val="Rimandonotaapidipagina"/>
          <w:rFonts w:ascii="Times" w:hAnsi="Times" w:cs="Times"/>
        </w:rPr>
        <w:footnoteReference w:id="24"/>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parole est une autre façon d'entrer en relations avec les personnes ou avec les choses. Le souffle expiré établit la communication; c'est quelque chose de nous qui se répand au dehors. Aussi est-il interdit aux profanes d'adresser la parole aux êtres sacrés ou simplement de parler en leur présence. De même que le néophyte ne doit regarder ni les opérateurs ni les assistants, il lui est défendu de converser avec eux autrement que par signes ; et cette interdiction persiste jusqu'à ce qu'elle ait été levée au moyen d'un rite spécial </w:t>
      </w:r>
      <w:r w:rsidRPr="00FB35F7">
        <w:rPr>
          <w:rStyle w:val="Rimandonotaapidipagina"/>
          <w:rFonts w:ascii="Times" w:hAnsi="Times" w:cs="Times"/>
        </w:rPr>
        <w:footnoteReference w:id="25"/>
      </w:r>
      <w:r w:rsidRPr="00FB35F7">
        <w:rPr>
          <w:rFonts w:ascii="Times New Roman" w:hAnsi="Times New Roman" w:cs="Times"/>
        </w:rPr>
        <w:t>. D'une manière générale, il y a, chez les Arunta, au cours des grandes cérémonies, des moments où le silence est de rigueur </w:t>
      </w:r>
      <w:r w:rsidRPr="00FB35F7">
        <w:rPr>
          <w:rStyle w:val="Rimandonotaapidipagina"/>
          <w:rFonts w:ascii="Times" w:hAnsi="Times" w:cs="Times"/>
        </w:rPr>
        <w:footnoteReference w:id="26"/>
      </w:r>
      <w:r w:rsidRPr="00FB35F7">
        <w:rPr>
          <w:rFonts w:ascii="Times New Roman" w:hAnsi="Times New Roman" w:cs="Times"/>
        </w:rPr>
        <w:t>. Dès que les churinga sont exposés, on se tait ; ou bien, si l'on parle, c'est à voix basse et du bout des lèvres </w:t>
      </w:r>
      <w:r w:rsidRPr="00FB35F7">
        <w:rPr>
          <w:rStyle w:val="Rimandonotaapidipagina"/>
          <w:rFonts w:ascii="Times" w:hAnsi="Times" w:cs="Times"/>
        </w:rPr>
        <w:footnoteReference w:id="27"/>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dehors des choses sacrées, il y a des mots, des sons qui ont le même caractère : ils ne doivent ni se trouver sur les lèvres des profanes ni frapper leurs oreilles. Il y a des chants rituels que les femmes ne doivent pas entendre sous peine de mort </w:t>
      </w:r>
      <w:r w:rsidRPr="00FB35F7">
        <w:rPr>
          <w:rStyle w:val="Rimandonotaapidipagina"/>
          <w:rFonts w:ascii="Times" w:hAnsi="Times" w:cs="Times"/>
        </w:rPr>
        <w:footnoteReference w:id="28"/>
      </w:r>
      <w:r w:rsidRPr="00FB35F7">
        <w:rPr>
          <w:rFonts w:ascii="Times New Roman" w:hAnsi="Times New Roman" w:cs="Times"/>
        </w:rPr>
        <w:t>. Elles peuvent percevoir le bruit des bull-roarers, mais seulement à distance. Tout nom propre est considéré comme un élément essentiel de la personne qui le porte ; étroitement associé dans les esprits à l'idée de cette personne, il participe des sentiments qu'elle inspire. Si donc elle est sacrée, il est lui-même sacré. Aussi ne peut-il être prononcé au cours de la vie profane. Il y a, chez les Warramunga, un totem qui est particulièrement vénéré ; c'est le serpent mythique appelé Wollunqua : son nom est tabou </w:t>
      </w:r>
      <w:r w:rsidRPr="00FB35F7">
        <w:rPr>
          <w:rStyle w:val="Rimandonotaapidipagina"/>
          <w:rFonts w:ascii="Times" w:hAnsi="Times" w:cs="Times"/>
        </w:rPr>
        <w:footnoteReference w:id="29"/>
      </w:r>
      <w:r w:rsidRPr="00FB35F7">
        <w:rPr>
          <w:rFonts w:ascii="Times New Roman" w:hAnsi="Times New Roman" w:cs="Times"/>
        </w:rPr>
        <w:t>. Il en est de même de Baiame, de Daramulun, de Bunjil : la forme ésotérique de leur nom ne peut être révélée aux non-initiés </w:t>
      </w:r>
      <w:r w:rsidRPr="00FB35F7">
        <w:rPr>
          <w:rStyle w:val="Rimandonotaapidipagina"/>
          <w:rFonts w:ascii="Times" w:hAnsi="Times" w:cs="Times"/>
        </w:rPr>
        <w:footnoteReference w:id="30"/>
      </w:r>
      <w:r w:rsidRPr="00FB35F7">
        <w:rPr>
          <w:rFonts w:ascii="Times New Roman" w:hAnsi="Times New Roman" w:cs="Times"/>
        </w:rPr>
        <w:t>. Pendant le deuil, le nom du mort ne doit pas être mentionné, au moins par ses parents, sauf quand il y a absolue nécessité et, même dans ce cas, on doit se borner à le chuchoter </w:t>
      </w:r>
      <w:r w:rsidRPr="00FB35F7">
        <w:rPr>
          <w:rStyle w:val="Rimandonotaapidipagina"/>
          <w:rFonts w:ascii="Times" w:hAnsi="Times" w:cs="Times"/>
        </w:rPr>
        <w:footnoteReference w:id="31"/>
      </w:r>
      <w:r w:rsidRPr="00FB35F7">
        <w:rPr>
          <w:rFonts w:ascii="Times New Roman" w:hAnsi="Times New Roman" w:cs="Times"/>
        </w:rPr>
        <w:t>. Cette interdiction est souvent perpétuelle pour la veuve et pour certains proches </w:t>
      </w:r>
      <w:r w:rsidRPr="00FB35F7">
        <w:rPr>
          <w:rStyle w:val="Rimandonotaapidipagina"/>
          <w:rFonts w:ascii="Times" w:hAnsi="Times" w:cs="Times"/>
        </w:rPr>
        <w:footnoteReference w:id="32"/>
      </w:r>
      <w:r w:rsidRPr="00FB35F7">
        <w:rPr>
          <w:rFonts w:ascii="Times New Roman" w:hAnsi="Times New Roman" w:cs="Times"/>
        </w:rPr>
        <w:t>. Chez quelques peuples, elle s'étend même au delà de la famille ; tous les individus qui portent le même nom que le défunt sont tenus d'en changer temporairement </w:t>
      </w:r>
      <w:r w:rsidRPr="00FB35F7">
        <w:rPr>
          <w:rStyle w:val="Rimandonotaapidipagina"/>
          <w:rFonts w:ascii="Times" w:hAnsi="Times" w:cs="Times"/>
        </w:rPr>
        <w:footnoteReference w:id="33"/>
      </w:r>
      <w:r w:rsidRPr="00FB35F7">
        <w:rPr>
          <w:rFonts w:ascii="Times New Roman" w:hAnsi="Times New Roman" w:cs="Times"/>
        </w:rPr>
        <w:t xml:space="preserve">. Il y a plus : les parents et les intimes s'interdisent </w:t>
      </w:r>
      <w:r w:rsidRPr="00FB35F7">
        <w:rPr>
          <w:rFonts w:ascii="Times New Roman" w:hAnsi="Times New Roman" w:cs="Times"/>
        </w:rPr>
        <w:lastRenderedPageBreak/>
        <w:t>par</w:t>
      </w:r>
      <w:r w:rsidRPr="00FB35F7">
        <w:rPr>
          <w:rFonts w:ascii="Times" w:hAnsi="Times" w:cs="Times"/>
        </w:rPr>
        <w:softHyphen/>
      </w:r>
      <w:r w:rsidRPr="00FB35F7">
        <w:rPr>
          <w:rFonts w:ascii="Times New Roman" w:hAnsi="Times New Roman" w:cs="Times"/>
        </w:rPr>
        <w:t>fois certains mots de la langue usuelle, sans doute parce qu'ils étaient employés par le mort ; on comble ces lacunes au moyen de périphrases ou d'emprunts faits à quelque dialecte étranger </w:t>
      </w:r>
      <w:r w:rsidRPr="00FB35F7">
        <w:rPr>
          <w:rStyle w:val="Rimandonotaapidipagina"/>
          <w:rFonts w:ascii="Times" w:hAnsi="Times" w:cs="Times"/>
        </w:rPr>
        <w:footnoteReference w:id="34"/>
      </w:r>
      <w:r w:rsidRPr="00FB35F7">
        <w:rPr>
          <w:rFonts w:ascii="Times New Roman" w:hAnsi="Times New Roman" w:cs="Times"/>
        </w:rPr>
        <w:t>. Outre leur nom publie et vulgaire, les hommes en portent un autre qui est tenu secret : les femmes et les enfants l'ignorent ; jamais il n'en est fait usage dans la vie ordinaire. C'est qu'il a un caractère religieux </w:t>
      </w:r>
      <w:r w:rsidRPr="00FB35F7">
        <w:rPr>
          <w:rStyle w:val="Rimandonotaapidipagina"/>
          <w:rFonts w:ascii="Times" w:hAnsi="Times" w:cs="Times"/>
        </w:rPr>
        <w:footnoteReference w:id="35"/>
      </w:r>
      <w:r w:rsidRPr="00FB35F7">
        <w:rPr>
          <w:rFonts w:ascii="Times New Roman" w:hAnsi="Times New Roman" w:cs="Times"/>
        </w:rPr>
        <w:t>. Il y a même des cérémonies pendant lesquelles on est obligé de parler un langage spécial dont il est défendu de se servir dans les relations profanes. C'est un commencement de langue sacrée </w:t>
      </w:r>
      <w:r w:rsidRPr="00FB35F7">
        <w:rPr>
          <w:rStyle w:val="Rimandonotaapidipagina"/>
          <w:rFonts w:ascii="Times" w:hAnsi="Times" w:cs="Times"/>
        </w:rPr>
        <w:footnoteReference w:id="36"/>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Non seulement les êtres sacrés sont séparés des profanes, mais rien de ce qui concerne, directement ou indirectement, la vie profane ne doit se mêler à la vie religieuse. Une nudité complète est souvent exigée de l'indigène comme une condition préalable pour qu'il puisse être admis à participer au rite </w:t>
      </w:r>
      <w:r w:rsidRPr="00FB35F7">
        <w:rPr>
          <w:rStyle w:val="Rimandonotaapidipagina"/>
          <w:rFonts w:ascii="Times" w:hAnsi="Times" w:cs="Times"/>
        </w:rPr>
        <w:footnoteReference w:id="37"/>
      </w:r>
      <w:r w:rsidRPr="00FB35F7">
        <w:rPr>
          <w:rFonts w:ascii="Times New Roman" w:hAnsi="Times New Roman" w:cs="Times"/>
        </w:rPr>
        <w:t>, il est tenu de se dépouiller de tous ses ornements habituels, même de ceux auxquels il tient le plus et dont il se sépare le moins volontiers à cause des vertus protectrices qu'il leur attribue </w:t>
      </w:r>
      <w:r w:rsidRPr="00FB35F7">
        <w:rPr>
          <w:rStyle w:val="Rimandonotaapidipagina"/>
          <w:rFonts w:ascii="Times" w:hAnsi="Times" w:cs="Times"/>
        </w:rPr>
        <w:footnoteReference w:id="38"/>
      </w:r>
      <w:r w:rsidRPr="00FB35F7">
        <w:rPr>
          <w:rFonts w:ascii="Times New Roman" w:hAnsi="Times New Roman" w:cs="Times"/>
        </w:rPr>
        <w:t>. Si, pour jouer son rôle rituel, il est obligé de se décorer, cette décoration doit être faite spécialement pour la circonstance ; c'est un costume cérémoniel, un vêtement de fête </w:t>
      </w:r>
      <w:r w:rsidRPr="00FB35F7">
        <w:rPr>
          <w:rStyle w:val="Rimandonotaapidipagina"/>
          <w:rFonts w:ascii="Times" w:hAnsi="Times" w:cs="Times"/>
        </w:rPr>
        <w:footnoteReference w:id="39"/>
      </w:r>
      <w:r w:rsidRPr="00FB35F7">
        <w:rPr>
          <w:rFonts w:ascii="Times New Roman" w:hAnsi="Times New Roman" w:cs="Times"/>
        </w:rPr>
        <w:t>. Parce que ces ornements sont sacrés en raison de l'usage qui en a été fait, il est interdit de s'en servir dans les relations profanes : une fois que la cérémonie est close, on les enterre ou on les brûle </w:t>
      </w:r>
      <w:r w:rsidRPr="00FB35F7">
        <w:rPr>
          <w:rStyle w:val="Rimandonotaapidipagina"/>
          <w:rFonts w:ascii="Times" w:hAnsi="Times" w:cs="Times"/>
        </w:rPr>
        <w:footnoteReference w:id="40"/>
      </w:r>
      <w:r w:rsidRPr="00FB35F7">
        <w:rPr>
          <w:rFonts w:ascii="Times New Roman" w:hAnsi="Times New Roman" w:cs="Times"/>
        </w:rPr>
        <w:t xml:space="preserve"> ; les hommes doivent même se laver de manière à n'emporter sur eux aucune trace des décorations dont ils étaient revêtus </w:t>
      </w:r>
      <w:r w:rsidRPr="00FB35F7">
        <w:rPr>
          <w:rStyle w:val="Rimandonotaapidipagina"/>
          <w:rFonts w:ascii="Times" w:hAnsi="Times" w:cs="Times"/>
        </w:rPr>
        <w:footnoteReference w:id="41"/>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Plus généralement, les actes caractéristiques de la vie ordinaire sont interdits tandis que se déroulent ceux de la vie religieuse. L'acte de manger est, par lui-même, profane ; car il a lieu tous les jours, il satisfait des besoins essentiellement utilitaires et matériels, il fait partie de notre existence vulgaire </w:t>
      </w:r>
      <w:r w:rsidRPr="00FB35F7">
        <w:rPr>
          <w:rStyle w:val="Rimandonotaapidipagina"/>
          <w:rFonts w:ascii="Times" w:hAnsi="Times" w:cs="Times"/>
        </w:rPr>
        <w:footnoteReference w:id="42"/>
      </w:r>
      <w:r w:rsidRPr="00FB35F7">
        <w:rPr>
          <w:rFonts w:ascii="Times New Roman" w:hAnsi="Times New Roman" w:cs="Times"/>
        </w:rPr>
        <w:t>. C'est pourquoi il est prohibé en temps religieux. Ainsi, quand un groupe totémique a prêté ses churinga à un clan étranger, c'est un moment tout à fait solen</w:t>
      </w:r>
      <w:r w:rsidRPr="00FB35F7">
        <w:rPr>
          <w:rFonts w:ascii="Times" w:hAnsi="Times" w:cs="Times"/>
        </w:rPr>
        <w:softHyphen/>
      </w:r>
      <w:r w:rsidRPr="00FB35F7">
        <w:rPr>
          <w:rFonts w:ascii="Times New Roman" w:hAnsi="Times New Roman" w:cs="Times"/>
        </w:rPr>
        <w:t>nel que celui où ils sont rapportés et replacés dans l'ertnatulunga : tous ceux qui pren</w:t>
      </w:r>
      <w:r w:rsidRPr="00FB35F7">
        <w:rPr>
          <w:rFonts w:ascii="Times" w:hAnsi="Times" w:cs="Times"/>
        </w:rPr>
        <w:softHyphen/>
      </w:r>
      <w:r w:rsidRPr="00FB35F7">
        <w:rPr>
          <w:rFonts w:ascii="Times New Roman" w:hAnsi="Times New Roman" w:cs="Times"/>
        </w:rPr>
        <w:t>nent part à la cérémonie doivent rester à jeun tant qu'elle dure, et elle dure longtemps </w:t>
      </w:r>
      <w:r w:rsidRPr="00FB35F7">
        <w:rPr>
          <w:rStyle w:val="Rimandonotaapidipagina"/>
          <w:rFonts w:ascii="Times" w:hAnsi="Times" w:cs="Times"/>
        </w:rPr>
        <w:footnoteReference w:id="43"/>
      </w:r>
      <w:r w:rsidRPr="00FB35F7">
        <w:rPr>
          <w:rFonts w:ascii="Times New Roman" w:hAnsi="Times New Roman" w:cs="Times"/>
        </w:rPr>
        <w:t>. La même règle s'observe pendant la célébration des rites </w:t>
      </w:r>
      <w:r w:rsidRPr="00FB35F7">
        <w:rPr>
          <w:rStyle w:val="Rimandonotaapidipagina"/>
          <w:rFonts w:ascii="Times" w:hAnsi="Times" w:cs="Times"/>
        </w:rPr>
        <w:footnoteReference w:id="44"/>
      </w:r>
      <w:r w:rsidRPr="00FB35F7">
        <w:rPr>
          <w:rFonts w:ascii="Times New Roman" w:hAnsi="Times New Roman" w:cs="Times"/>
        </w:rPr>
        <w:t xml:space="preserve"> dont il sera question au chapitre suivant, ainsi qu'à certains moments de l'initiation </w:t>
      </w:r>
      <w:r w:rsidRPr="00FB35F7">
        <w:rPr>
          <w:rStyle w:val="Rimandonotaapidipagina"/>
          <w:rFonts w:ascii="Times" w:hAnsi="Times" w:cs="Times"/>
        </w:rPr>
        <w:footnoteReference w:id="4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Pour la même raison, toutes les occupations temporelles sont suspendues quand ont lieu les grandes solennités religieuses. Suivant une remarque de Spencer et Gillen </w:t>
      </w:r>
      <w:r w:rsidRPr="00FB35F7">
        <w:rPr>
          <w:rStyle w:val="Rimandonotaapidipagina"/>
          <w:rFonts w:ascii="Times" w:hAnsi="Times" w:cs="Times"/>
        </w:rPr>
        <w:footnoteReference w:id="46"/>
      </w:r>
      <w:r w:rsidRPr="00FB35F7">
        <w:rPr>
          <w:rFonts w:ascii="Times New Roman" w:hAnsi="Times New Roman" w:cs="Times"/>
        </w:rPr>
        <w:t xml:space="preserve"> que nous avons eu déjà l'occasion de citer, la vie de l'Australien est faite de deux parts très distinctes : l'une est employée à la chasse, à la pêche, à la guerre ; l'autre est consacrée au culte, et ces deux formes d'activité s'excluent et se repoussent mutuellement. C'est sur ce principe que repose l'institution universelle du chômage religieux. Le caractère distinctif des jours de fête, dans toutes les religions connues, c'est l'arrêt du travail, la suspension de la vie publique et privée, en tant qu'elle n'a pas d'objectif religieux. Ce repos n'est pas simplement une sorte de relâche temporaire que les hommes se seraient accordée pour pouvoir se livrer plus librement aux sentiments d'allégresse qu'éveillent généralement les jours fériés ; car il y a des fêtes tristes, consacrées au deuil et à la pénitence, et pendant lesquelles il n'est pas moins obliga</w:t>
      </w:r>
      <w:r w:rsidRPr="00FB35F7">
        <w:rPr>
          <w:rFonts w:ascii="Times" w:hAnsi="Times" w:cs="Times"/>
        </w:rPr>
        <w:softHyphen/>
      </w:r>
      <w:r w:rsidRPr="00FB35F7">
        <w:rPr>
          <w:rFonts w:ascii="Times New Roman" w:hAnsi="Times New Roman" w:cs="Times"/>
        </w:rPr>
        <w:t>toire. Mais c'est que le travail est la forme éminente de l'activité profane : il n'a d'autre but apparent que de subvenir aux nécessités temporelles de la vie; il ne nous met en rapport qu'avec des choses vulgaires. Au contraire, aux jours de fête, la vie religieuse atteint à un degré d'exceptionnelle intensité. Le contraste entre ces deux sortes d'existence est donc, à ce moment, particulière</w:t>
      </w:r>
      <w:r w:rsidRPr="00FB35F7">
        <w:rPr>
          <w:rFonts w:ascii="Times" w:hAnsi="Times" w:cs="Times"/>
        </w:rPr>
        <w:softHyphen/>
      </w:r>
      <w:r w:rsidRPr="00FB35F7">
        <w:rPr>
          <w:rFonts w:ascii="Times New Roman" w:hAnsi="Times New Roman" w:cs="Times"/>
        </w:rPr>
        <w:t>ment marqué ; par suite, elles ne peuvent voisiner. L'homme ne peut approcher intimement de son dieu quand il porte encore sur lui les marques de sa vie profane; inversement, il ne peut retourner à ses occupations usuelles alors que le rite vient de le sanctifier. Le chômage rituel n'est donc qu'un cas particulier de l'incompatibilité générale qui sépare le sacré du profane ; c'est le résultat d'un interdit.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ne saurait être question d'énumérer ici toutes les espèces d'interdits qui sont observés, même dans les seules religions australiennes. Comme la notion du sacré sur laquelle il repose, le système des interdits s'étend aux relations les plus diverses ; on l'utilise même délibérément pour des fins utilitaires </w:t>
      </w:r>
      <w:r w:rsidRPr="00FB35F7">
        <w:rPr>
          <w:rStyle w:val="Rimandonotaapidipagina"/>
          <w:rFonts w:ascii="Times" w:hAnsi="Times" w:cs="Times"/>
        </w:rPr>
        <w:footnoteReference w:id="47"/>
      </w:r>
      <w:r w:rsidRPr="00FB35F7">
        <w:rPr>
          <w:rFonts w:ascii="Times New Roman" w:hAnsi="Times New Roman" w:cs="Times"/>
        </w:rPr>
        <w:t>. Mais, si complexe qu'il puisse être, il vient finalement aboutir à deux interdictions fondamentales qui le résument et qui le dominent.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premier lieu, la vie religieuse et la vie profane ne peuvent coexister dans un même espace. Pour que la première puisse se développer, il faut donc lui aménager un emplacement spécial d'où la seconde soit exclue. De là vient l'institution des temples et des sanctuaires : ce sont des portions d'espace qui sont affectées aux choses et aux êtres sacrés et qui leur servent d'habitats ; car ils ne peuvent s'établir sur le sol qu'à condition de se l'approprier totalement dans un rayon déterminé. Ces sortes d'arrangements sont tellement indispensables à toute vie religieuse que les religions même les plus inférieures ne peuvent s'en passer. L'ertnatulunga, cet endroit où sont déposés les churinga, est un véritable sanctuaire. Aussi est-il interdit aux non-initiés de s'en approcher. Il est même défendu de s'y livrer à une occupation profane, quelle qu'elle soit. Nous verrons dans la suite qu'il existe d'autres lieux saints où se célèbrent d'importantes cérémonies </w:t>
      </w:r>
      <w:r w:rsidRPr="00FB35F7">
        <w:rPr>
          <w:rStyle w:val="Rimandonotaapidipagina"/>
          <w:rFonts w:ascii="Times" w:hAnsi="Times" w:cs="Times"/>
        </w:rPr>
        <w:footnoteReference w:id="48"/>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De même, la vie religieuse et la vie profane ne peuvent coexister dans les mêmes unités de temps. Il est donc nécessaire d'assigner à la première des jours ou des périodes déterminés d'où toutes les occupations profanes soient retirées. C'est ainsi qu'ont pris naissance les fêtes. Il n'est pas de religion ni, par conséquent, de société qui n'ait connu et pratiqué cette division du temps en deux parties tranchées qui alternent l'une avec l'autre suivant une loi variable avec les peuples et les civilisations ; c'est même très probablement, comme nous l'avons dit, la nécessité de cette alternance qui a amené les hommes à introduire, dans la continuité et l'homogénéité de la durée, des distinctions et des différenciations qu'elle ne comporte pas natu</w:t>
      </w:r>
      <w:r w:rsidRPr="00FB35F7">
        <w:rPr>
          <w:rFonts w:ascii="Times" w:hAnsi="Times" w:cs="Times"/>
        </w:rPr>
        <w:softHyphen/>
      </w:r>
      <w:r w:rsidRPr="00FB35F7">
        <w:rPr>
          <w:rFonts w:ascii="Times New Roman" w:hAnsi="Times New Roman" w:cs="Times"/>
        </w:rPr>
        <w:t>rel</w:t>
      </w:r>
      <w:r w:rsidRPr="00FB35F7">
        <w:rPr>
          <w:rFonts w:ascii="Times" w:hAnsi="Times" w:cs="Times"/>
        </w:rPr>
        <w:softHyphen/>
      </w:r>
      <w:r w:rsidRPr="00FB35F7">
        <w:rPr>
          <w:rFonts w:ascii="Times New Roman" w:hAnsi="Times New Roman" w:cs="Times"/>
        </w:rPr>
        <w:t>lement </w:t>
      </w:r>
      <w:r w:rsidRPr="00FB35F7">
        <w:rPr>
          <w:rStyle w:val="Rimandonotaapidipagina"/>
          <w:rFonts w:ascii="Times" w:hAnsi="Times" w:cs="Times"/>
        </w:rPr>
        <w:footnoteReference w:id="49"/>
      </w:r>
      <w:r w:rsidRPr="00FB35F7">
        <w:rPr>
          <w:rFonts w:ascii="Times New Roman" w:hAnsi="Times New Roman" w:cs="Times"/>
        </w:rPr>
        <w:t>. Sans doute, il est à peu près impossible que la vie religieuse arrive jamais à se concentrer hermétiquement dans les milieux spatiaux et temporels qui lui sont ainsi attri</w:t>
      </w:r>
      <w:r w:rsidRPr="00FB35F7">
        <w:rPr>
          <w:rFonts w:ascii="Times" w:hAnsi="Times" w:cs="Times"/>
        </w:rPr>
        <w:softHyphen/>
      </w:r>
      <w:r w:rsidRPr="00FB35F7">
        <w:rPr>
          <w:rFonts w:ascii="Times New Roman" w:hAnsi="Times New Roman" w:cs="Times"/>
        </w:rPr>
        <w:t>bués ; il est inévitable qu'il en filtre quelque peu au dehors. Il y a toujours des choses sacrées en dehors des sanctuaires ; il y a des rites qui peuvent être célébrés les jours ouvrables. Mais ce sont des choses sacrées de rang secondaire et des rites de moindre importance. La concentration reste la caractéristique domi</w:t>
      </w:r>
      <w:r w:rsidRPr="00FB35F7">
        <w:rPr>
          <w:rFonts w:ascii="Times" w:hAnsi="Times" w:cs="Times"/>
        </w:rPr>
        <w:softHyphen/>
      </w:r>
      <w:r w:rsidRPr="00FB35F7">
        <w:rPr>
          <w:rFonts w:ascii="Times New Roman" w:hAnsi="Times New Roman" w:cs="Times"/>
        </w:rPr>
        <w:t>nante de cette organisation. Même elle est géné</w:t>
      </w:r>
      <w:r w:rsidRPr="00FB35F7">
        <w:rPr>
          <w:rFonts w:ascii="Times" w:hAnsi="Times" w:cs="Times"/>
        </w:rPr>
        <w:softHyphen/>
      </w:r>
      <w:r w:rsidRPr="00FB35F7">
        <w:rPr>
          <w:rFonts w:ascii="Times New Roman" w:hAnsi="Times New Roman" w:cs="Times"/>
        </w:rPr>
        <w:t>ra</w:t>
      </w:r>
      <w:r w:rsidRPr="00FB35F7">
        <w:rPr>
          <w:rFonts w:ascii="Times" w:hAnsi="Times" w:cs="Times"/>
        </w:rPr>
        <w:softHyphen/>
      </w:r>
      <w:r w:rsidRPr="00FB35F7">
        <w:rPr>
          <w:rFonts w:ascii="Times New Roman" w:hAnsi="Times New Roman" w:cs="Times"/>
        </w:rPr>
        <w:t>lement complète pour tout ce qui concerne le culte public, qui ne peut se célébrer qu'en commun. Le culte privé, individuel, est le seul qui vienne se mêler d'assez près à la vie temporelle. Aussi le contraste entre ces deux phases successives de la vie humaine atteint-il son maximum d'intensité dans les sociétés inférieures, telles que sont les tribus australiennes; car c'est là que le culte individuel est le plus rudi</w:t>
      </w:r>
      <w:r w:rsidRPr="00FB35F7">
        <w:rPr>
          <w:rFonts w:ascii="Times" w:hAnsi="Times" w:cs="Times"/>
        </w:rPr>
        <w:softHyphen/>
      </w:r>
      <w:r w:rsidRPr="00FB35F7">
        <w:rPr>
          <w:rFonts w:ascii="Times New Roman" w:hAnsi="Times New Roman" w:cs="Times"/>
        </w:rPr>
        <w:t>mentaire </w:t>
      </w:r>
      <w:r w:rsidRPr="00FB35F7">
        <w:rPr>
          <w:rStyle w:val="Rimandonotaapidipagina"/>
          <w:rFonts w:ascii="Times" w:hAnsi="Times" w:cs="Times"/>
        </w:rPr>
        <w:footnoteReference w:id="5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6" w:name="livre_3_chap_1_2"/>
      <w:r w:rsidRPr="00FB35F7">
        <w:rPr>
          <w:rFonts w:ascii="Times New Roman" w:hAnsi="Times New Roman"/>
        </w:rPr>
        <w:t>II</w:t>
      </w:r>
    </w:p>
    <w:bookmarkEnd w:id="6"/>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lastRenderedPageBreak/>
        <w:t>Jusqu'à présent, le culte négatif ne s'est présenté à nous que comme un système d'absten</w:t>
      </w:r>
      <w:r w:rsidRPr="00FB35F7">
        <w:rPr>
          <w:rFonts w:ascii="Times" w:hAnsi="Times" w:cs="Times"/>
        </w:rPr>
        <w:softHyphen/>
      </w:r>
      <w:r w:rsidRPr="00FB35F7">
        <w:rPr>
          <w:rFonts w:ascii="Times New Roman" w:hAnsi="Times New Roman" w:cs="Times"/>
        </w:rPr>
        <w:t>tions. Il semble donc ne pouvoir servir qu'à inhiber l'activité, non à la stimuler et à la tonifier. Et cependant, par un contre coup inattendu de cet effet inhibitif, il se trouve exercer, sur la nature religieuse et morale de l'individu, une action positive de la plus haute importance.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En effet, en raison de la barrière qui sépare le sacré du profane, l'homme ne peut entrer en rapports intimes avec les choses sacrées qu'à condition de se dépouiller de ce qu'il y a de profane en lui. Il ne peut vivre d'une vie religieuse un peu intense, que </w:t>
      </w:r>
      <w:r w:rsidRPr="00FB35F7">
        <w:rPr>
          <w:rFonts w:ascii="Times New Roman" w:hAnsi="Times New Roman" w:cs="Times"/>
          <w:i/>
          <w:iCs/>
        </w:rPr>
        <w:t xml:space="preserve">S'il </w:t>
      </w:r>
      <w:r w:rsidRPr="00FB35F7">
        <w:rPr>
          <w:rFonts w:ascii="Times New Roman" w:hAnsi="Times New Roman" w:cs="Times"/>
        </w:rPr>
        <w:t>commence par se retirer plus ou moins complètement de la vie temporelle. Le culte négatif est donc, en un sens, un moyen en vue d'un but : il est la condi</w:t>
      </w:r>
      <w:r w:rsidRPr="00FB35F7">
        <w:rPr>
          <w:rFonts w:ascii="Times" w:hAnsi="Times" w:cs="Times"/>
        </w:rPr>
        <w:softHyphen/>
      </w:r>
      <w:r w:rsidRPr="00FB35F7">
        <w:rPr>
          <w:rFonts w:ascii="Times New Roman" w:hAnsi="Times New Roman" w:cs="Times"/>
        </w:rPr>
        <w:t>tion d'accès du culte positif. Il ne se borne pas à proté</w:t>
      </w:r>
      <w:r w:rsidRPr="00FB35F7">
        <w:rPr>
          <w:rFonts w:ascii="Times" w:hAnsi="Times" w:cs="Times"/>
        </w:rPr>
        <w:softHyphen/>
      </w:r>
      <w:r w:rsidRPr="00FB35F7">
        <w:rPr>
          <w:rFonts w:ascii="Times New Roman" w:hAnsi="Times New Roman" w:cs="Times"/>
        </w:rPr>
        <w:t>ger les êtres sacrés contre les contacts vulgaires ; il agit sur le fidèle lui-même dont il modifie positivement l'état. L'homme qui s'est soumis aux interdictions prescrites n'est pas après ce qu'il était avant. Avant, c'était un être du commun qui, pour cette raison, était tenu de rester à distance des forces religieu</w:t>
      </w:r>
      <w:r w:rsidRPr="00FB35F7">
        <w:rPr>
          <w:rFonts w:ascii="Times" w:hAnsi="Times" w:cs="Times"/>
        </w:rPr>
        <w:softHyphen/>
      </w:r>
      <w:r w:rsidRPr="00FB35F7">
        <w:rPr>
          <w:rFonts w:ascii="Times New Roman" w:hAnsi="Times New Roman" w:cs="Times"/>
        </w:rPr>
        <w:t>ses. Après, il est davantage de plain-pied avec elles ; car il s'est rapproché du sacré par cela seul qu'il s'est éloi</w:t>
      </w:r>
      <w:r w:rsidRPr="00FB35F7">
        <w:rPr>
          <w:rFonts w:ascii="Times" w:hAnsi="Times" w:cs="Times"/>
        </w:rPr>
        <w:softHyphen/>
      </w:r>
      <w:r w:rsidRPr="00FB35F7">
        <w:rPr>
          <w:rFonts w:ascii="Times New Roman" w:hAnsi="Times New Roman" w:cs="Times"/>
        </w:rPr>
        <w:t xml:space="preserve">gné du profane ; il s'est épuré et sanctifié par cela seul qu'il s'est détaché des choses basses et triviales qui alourdissaient sa nature. Les rites négatifs confèrent donc des pouvoirs efficaces tout comme les rites positifs ; les premiers, comme les seconds, peuvent servir à élever le </w:t>
      </w:r>
      <w:r w:rsidRPr="00FB35F7">
        <w:rPr>
          <w:rFonts w:ascii="Times New Roman" w:hAnsi="Times New Roman" w:cs="Times"/>
          <w:i/>
          <w:iCs/>
        </w:rPr>
        <w:t xml:space="preserve">tonus </w:t>
      </w:r>
      <w:r w:rsidRPr="00FB35F7">
        <w:rPr>
          <w:rFonts w:ascii="Times New Roman" w:hAnsi="Times New Roman" w:cs="Times"/>
        </w:rPr>
        <w:t>religieux des individus. Sui</w:t>
      </w:r>
      <w:r w:rsidRPr="00FB35F7">
        <w:rPr>
          <w:rFonts w:ascii="Times" w:hAnsi="Times" w:cs="Times"/>
        </w:rPr>
        <w:softHyphen/>
      </w:r>
      <w:r w:rsidRPr="00FB35F7">
        <w:rPr>
          <w:rFonts w:ascii="Times New Roman" w:hAnsi="Times New Roman" w:cs="Times"/>
        </w:rPr>
        <w:t>vant une juste remarque qui a été faite, nul ne peut s'engager dans une cérémonie religieuse de quelque importance sans se soumettre à une sorte d'initi</w:t>
      </w:r>
      <w:r w:rsidRPr="00FB35F7">
        <w:rPr>
          <w:rFonts w:ascii="Times" w:hAnsi="Times" w:cs="Times"/>
        </w:rPr>
        <w:softHyphen/>
      </w:r>
      <w:r w:rsidRPr="00FB35F7">
        <w:rPr>
          <w:rFonts w:ascii="Times New Roman" w:hAnsi="Times New Roman" w:cs="Times"/>
        </w:rPr>
        <w:t>ation préalable qui l'introduise progres</w:t>
      </w:r>
      <w:r w:rsidRPr="00FB35F7">
        <w:rPr>
          <w:rFonts w:ascii="Times" w:hAnsi="Times" w:cs="Times"/>
        </w:rPr>
        <w:softHyphen/>
      </w:r>
      <w:r w:rsidRPr="00FB35F7">
        <w:rPr>
          <w:rFonts w:ascii="Times New Roman" w:hAnsi="Times New Roman" w:cs="Times"/>
        </w:rPr>
        <w:t>sivement dans le monde sacré </w:t>
      </w:r>
      <w:r w:rsidRPr="00FB35F7">
        <w:rPr>
          <w:rStyle w:val="Rimandonotaapidipagina"/>
          <w:rFonts w:ascii="Times" w:hAnsi="Times" w:cs="Times"/>
        </w:rPr>
        <w:footnoteReference w:id="51"/>
      </w:r>
      <w:r w:rsidRPr="00FB35F7">
        <w:rPr>
          <w:rFonts w:ascii="Times New Roman" w:hAnsi="Times New Roman" w:cs="Times"/>
        </w:rPr>
        <w:t>. On peut employ</w:t>
      </w:r>
      <w:r w:rsidRPr="00FB35F7">
        <w:rPr>
          <w:rFonts w:ascii="Times" w:hAnsi="Times" w:cs="Times"/>
        </w:rPr>
        <w:softHyphen/>
      </w:r>
      <w:r w:rsidRPr="00FB35F7">
        <w:rPr>
          <w:rFonts w:ascii="Times New Roman" w:hAnsi="Times New Roman" w:cs="Times"/>
        </w:rPr>
        <w:t>er pour cela des onctions, des lustra</w:t>
      </w:r>
      <w:r w:rsidRPr="00FB35F7">
        <w:rPr>
          <w:rFonts w:ascii="Times" w:hAnsi="Times" w:cs="Times"/>
        </w:rPr>
        <w:softHyphen/>
      </w:r>
      <w:r w:rsidRPr="00FB35F7">
        <w:rPr>
          <w:rFonts w:ascii="Times New Roman" w:hAnsi="Times New Roman" w:cs="Times"/>
        </w:rPr>
        <w:t>tions, des bénédictions, toutes opérations essen</w:t>
      </w:r>
      <w:r w:rsidRPr="00FB35F7">
        <w:rPr>
          <w:rFonts w:ascii="Times" w:hAnsi="Times" w:cs="Times"/>
        </w:rPr>
        <w:softHyphen/>
      </w:r>
      <w:r w:rsidRPr="00FB35F7">
        <w:rPr>
          <w:rFonts w:ascii="Times New Roman" w:hAnsi="Times New Roman" w:cs="Times"/>
        </w:rPr>
        <w:t>tiel</w:t>
      </w:r>
      <w:r w:rsidRPr="00FB35F7">
        <w:rPr>
          <w:rFonts w:ascii="Times" w:hAnsi="Times" w:cs="Times"/>
        </w:rPr>
        <w:softHyphen/>
      </w:r>
      <w:r w:rsidRPr="00FB35F7">
        <w:rPr>
          <w:rFonts w:ascii="Times New Roman" w:hAnsi="Times New Roman" w:cs="Times"/>
        </w:rPr>
        <w:t>le</w:t>
      </w:r>
      <w:r w:rsidRPr="00FB35F7">
        <w:rPr>
          <w:rFonts w:ascii="Times" w:hAnsi="Times" w:cs="Times"/>
        </w:rPr>
        <w:softHyphen/>
      </w:r>
      <w:r w:rsidRPr="00FB35F7">
        <w:rPr>
          <w:rFonts w:ascii="Times New Roman" w:hAnsi="Times New Roman" w:cs="Times"/>
        </w:rPr>
        <w:t>ment positives ; mais on arrive au même résultat au moyen de jeûnes, de veilles, par la retraite et le silence, c'est-à-dire par des abstinences rituelles qui ne sont autre chose que la mise en pratique d'interdits déterminés.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Quand il ne s'agit que de rites négatifs particuliers et isolés, leur action positive est généralement trop peu marquée pour être aisément perceptible. Mais il y a des circonstances où un système complet d'interdits est concentré sur une seule tête ; dans ce cas, leurs effets s'accumulent et deviennent ainsi plus manifestes. C'est ce qui se produit, en Australie, lors de l'initiation. Le néophyte est astreint à une extrême variété de rites négatifs. Il doit se retirer de la société on s'est, jusqu'alors, passée son existence, et presque de toute société humaine. Non seulement il lui est défendu de voir des femmes et des non-initiés </w:t>
      </w:r>
      <w:r w:rsidRPr="00FB35F7">
        <w:rPr>
          <w:rStyle w:val="Rimandonotaapidipagina"/>
          <w:rFonts w:ascii="Times" w:hAnsi="Times" w:cs="Times"/>
        </w:rPr>
        <w:footnoteReference w:id="52"/>
      </w:r>
      <w:r w:rsidRPr="00FB35F7">
        <w:rPr>
          <w:rFonts w:ascii="Times New Roman" w:hAnsi="Times New Roman" w:cs="Times"/>
        </w:rPr>
        <w:t>, mais il s'en va vivre dans la brousse, loin de ses semblables, sous la direction de quelques anciens qui lui servent de parrains </w:t>
      </w:r>
      <w:r w:rsidRPr="00FB35F7">
        <w:rPr>
          <w:rStyle w:val="Rimandonotaapidipagina"/>
          <w:rFonts w:ascii="Times" w:hAnsi="Times" w:cs="Times"/>
        </w:rPr>
        <w:footnoteReference w:id="53"/>
      </w:r>
      <w:r w:rsidRPr="00FB35F7">
        <w:rPr>
          <w:rFonts w:ascii="Times New Roman" w:hAnsi="Times New Roman" w:cs="Times"/>
        </w:rPr>
        <w:t xml:space="preserve">. La forêt est si bien considérée comme son milieu naturel que le mot par lequel on désigne l'initiation dans un certain nombre de tribus signifie </w:t>
      </w:r>
      <w:r w:rsidRPr="00FB35F7">
        <w:rPr>
          <w:rFonts w:ascii="Times New Roman" w:hAnsi="Times New Roman" w:cs="Times"/>
          <w:i/>
          <w:iCs/>
        </w:rPr>
        <w:t>ce qui est de la forêt</w:t>
      </w:r>
      <w:r w:rsidRPr="00FB35F7">
        <w:rPr>
          <w:rFonts w:ascii="Times New Roman" w:hAnsi="Times New Roman" w:cs="Times"/>
        </w:rPr>
        <w:t> </w:t>
      </w:r>
      <w:r w:rsidRPr="00FB35F7">
        <w:rPr>
          <w:rStyle w:val="Rimandonotaapidipagina"/>
          <w:rFonts w:ascii="Times" w:hAnsi="Times" w:cs="Times"/>
        </w:rPr>
        <w:footnoteReference w:id="54"/>
      </w:r>
      <w:r w:rsidRPr="00FB35F7">
        <w:rPr>
          <w:rFonts w:ascii="Times New Roman" w:hAnsi="Times New Roman" w:cs="Times"/>
          <w:i/>
          <w:iCs/>
        </w:rPr>
        <w:t xml:space="preserve">. </w:t>
      </w:r>
      <w:r w:rsidRPr="00FB35F7">
        <w:rPr>
          <w:rFonts w:ascii="Times New Roman" w:hAnsi="Times New Roman" w:cs="Times"/>
        </w:rPr>
        <w:t>Pour cette même raison, au cours des cérémonies auxquelles il assiste, il est très souvent décoré de feuillage </w:t>
      </w:r>
      <w:r w:rsidRPr="00FB35F7">
        <w:rPr>
          <w:rStyle w:val="Rimandonotaapidipagina"/>
          <w:rFonts w:ascii="Times" w:hAnsi="Times" w:cs="Times"/>
        </w:rPr>
        <w:footnoteReference w:id="55"/>
      </w:r>
      <w:r w:rsidRPr="00FB35F7">
        <w:rPr>
          <w:rFonts w:ascii="Times New Roman" w:hAnsi="Times New Roman" w:cs="Times"/>
        </w:rPr>
        <w:t>. Il passe ainsi de longs mois </w:t>
      </w:r>
      <w:r w:rsidRPr="00FB35F7">
        <w:rPr>
          <w:rStyle w:val="Rimandonotaapidipagina"/>
          <w:rFonts w:ascii="Times" w:hAnsi="Times" w:cs="Times"/>
        </w:rPr>
        <w:footnoteReference w:id="56"/>
      </w:r>
      <w:r w:rsidRPr="00FB35F7">
        <w:rPr>
          <w:rFonts w:ascii="Times New Roman" w:hAnsi="Times New Roman" w:cs="Times"/>
        </w:rPr>
        <w:t xml:space="preserve"> qu'entrecoupent, de temps en temps, les rites </w:t>
      </w:r>
      <w:r w:rsidRPr="00FB35F7">
        <w:rPr>
          <w:rFonts w:ascii="Times New Roman" w:hAnsi="Times New Roman" w:cs="Times"/>
        </w:rPr>
        <w:lastRenderedPageBreak/>
        <w:t>auxquels il est tenu de prendre part. Ce temps est pour lui une période d'abstinences de toutes sortes. Une multitude d'ali</w:t>
      </w:r>
      <w:r w:rsidRPr="00FB35F7">
        <w:rPr>
          <w:rFonts w:ascii="Times" w:hAnsi="Times" w:cs="Times"/>
        </w:rPr>
        <w:softHyphen/>
      </w:r>
      <w:r w:rsidRPr="00FB35F7">
        <w:rPr>
          <w:rFonts w:ascii="Times New Roman" w:hAnsi="Times New Roman" w:cs="Times"/>
        </w:rPr>
        <w:t>ments lui sont interdits ; on ne lui permet que la quantité de nourriture strictement indispen</w:t>
      </w:r>
      <w:r w:rsidRPr="00FB35F7">
        <w:rPr>
          <w:rFonts w:ascii="Times" w:hAnsi="Times" w:cs="Times"/>
        </w:rPr>
        <w:softHyphen/>
      </w:r>
      <w:r w:rsidRPr="00FB35F7">
        <w:rPr>
          <w:rFonts w:ascii="Times New Roman" w:hAnsi="Times New Roman" w:cs="Times"/>
        </w:rPr>
        <w:t>sable pour entretenir la vie </w:t>
      </w:r>
      <w:r w:rsidRPr="00FB35F7">
        <w:rPr>
          <w:rStyle w:val="Rimandonotaapidipagina"/>
          <w:rFonts w:ascii="Times" w:hAnsi="Times" w:cs="Times"/>
        </w:rPr>
        <w:footnoteReference w:id="57"/>
      </w:r>
      <w:r w:rsidRPr="00FB35F7">
        <w:rPr>
          <w:rFonts w:ascii="Times New Roman" w:hAnsi="Times New Roman" w:cs="Times"/>
        </w:rPr>
        <w:t xml:space="preserve"> ; même il est souvent astreint à un jeune rigoureux </w:t>
      </w:r>
      <w:r w:rsidRPr="00FB35F7">
        <w:rPr>
          <w:rStyle w:val="Rimandonotaapidipagina"/>
          <w:rFonts w:ascii="Times" w:hAnsi="Times" w:cs="Times"/>
        </w:rPr>
        <w:footnoteReference w:id="58"/>
      </w:r>
      <w:r w:rsidRPr="00FB35F7">
        <w:rPr>
          <w:rFonts w:ascii="Times New Roman" w:hAnsi="Times New Roman" w:cs="Times"/>
        </w:rPr>
        <w:t>, ou bien il est tenu de manger une nourriture immonde </w:t>
      </w:r>
      <w:r w:rsidRPr="00FB35F7">
        <w:rPr>
          <w:rStyle w:val="Rimandonotaapidipagina"/>
          <w:rFonts w:ascii="Times" w:hAnsi="Times" w:cs="Times"/>
        </w:rPr>
        <w:footnoteReference w:id="59"/>
      </w:r>
      <w:r w:rsidRPr="00FB35F7">
        <w:rPr>
          <w:rFonts w:ascii="Times New Roman" w:hAnsi="Times New Roman" w:cs="Times"/>
        </w:rPr>
        <w:t>. Quand il se nourrit, il ne peut pas toucher aux aliments avec ses mains ; ce sont ses parrains qui les lui introduisent dans la bouche </w:t>
      </w:r>
      <w:r w:rsidRPr="00FB35F7">
        <w:rPr>
          <w:rStyle w:val="Rimandonotaapidipagina"/>
          <w:rFonts w:ascii="Times" w:hAnsi="Times" w:cs="Times"/>
        </w:rPr>
        <w:footnoteReference w:id="60"/>
      </w:r>
      <w:r w:rsidRPr="00FB35F7">
        <w:rPr>
          <w:rFonts w:ascii="Times New Roman" w:hAnsi="Times New Roman" w:cs="Times"/>
        </w:rPr>
        <w:t>. Dans certains cas, il doit aller mendier sa subsistance </w:t>
      </w:r>
      <w:r w:rsidRPr="00FB35F7">
        <w:rPr>
          <w:rStyle w:val="Rimandonotaapidipagina"/>
          <w:rFonts w:ascii="Times" w:hAnsi="Times" w:cs="Times"/>
        </w:rPr>
        <w:footnoteReference w:id="61"/>
      </w:r>
      <w:r w:rsidRPr="00FB35F7">
        <w:rPr>
          <w:rFonts w:ascii="Times New Roman" w:hAnsi="Times New Roman" w:cs="Times"/>
        </w:rPr>
        <w:t>. De même, il ne dort que dans la mesure indispensable </w:t>
      </w:r>
      <w:r w:rsidRPr="00FB35F7">
        <w:rPr>
          <w:rStyle w:val="Rimandonotaapidipagina"/>
          <w:rFonts w:ascii="Times" w:hAnsi="Times" w:cs="Times"/>
        </w:rPr>
        <w:footnoteReference w:id="62"/>
      </w:r>
      <w:r w:rsidRPr="00FB35F7">
        <w:rPr>
          <w:rFonts w:ascii="Times New Roman" w:hAnsi="Times New Roman" w:cs="Times"/>
        </w:rPr>
        <w:t>. Il doit s'abstenir de parler tant qu'on ne lui adresse pas la parole; c'est par signes qu'il manifeste ses besoins </w:t>
      </w:r>
      <w:r w:rsidRPr="00FB35F7">
        <w:rPr>
          <w:rStyle w:val="Rimandonotaapidipagina"/>
          <w:rFonts w:ascii="Times" w:hAnsi="Times" w:cs="Times"/>
        </w:rPr>
        <w:footnoteReference w:id="63"/>
      </w:r>
      <w:r w:rsidRPr="00FB35F7">
        <w:rPr>
          <w:rFonts w:ascii="Times New Roman" w:hAnsi="Times New Roman" w:cs="Times"/>
        </w:rPr>
        <w:t>. Toute distraction lui est interdite </w:t>
      </w:r>
      <w:r w:rsidRPr="00FB35F7">
        <w:rPr>
          <w:rStyle w:val="Rimandonotaapidipagina"/>
          <w:rFonts w:ascii="Times" w:hAnsi="Times" w:cs="Times"/>
        </w:rPr>
        <w:footnoteReference w:id="64"/>
      </w:r>
      <w:r w:rsidRPr="00FB35F7">
        <w:rPr>
          <w:rFonts w:ascii="Times New Roman" w:hAnsi="Times New Roman" w:cs="Times"/>
        </w:rPr>
        <w:t>. Il ne peut pas se laver </w:t>
      </w:r>
      <w:r w:rsidRPr="00FB35F7">
        <w:rPr>
          <w:rStyle w:val="Rimandonotaapidipagina"/>
          <w:rFonts w:ascii="Times" w:hAnsi="Times" w:cs="Times"/>
        </w:rPr>
        <w:footnoteReference w:id="65"/>
      </w:r>
      <w:r w:rsidRPr="00FB35F7">
        <w:rPr>
          <w:rFonts w:ascii="Times New Roman" w:hAnsi="Times New Roman" w:cs="Times"/>
        </w:rPr>
        <w:t xml:space="preserve"> ; parfois il ne peut pas bouger. Il reste étendu par terre, immobile </w:t>
      </w:r>
      <w:r w:rsidRPr="00FB35F7">
        <w:rPr>
          <w:rStyle w:val="Rimandonotaapidipagina"/>
          <w:rFonts w:ascii="Times" w:hAnsi="Times" w:cs="Times"/>
        </w:rPr>
        <w:footnoteReference w:id="66"/>
      </w:r>
      <w:r w:rsidRPr="00FB35F7">
        <w:rPr>
          <w:rFonts w:ascii="Times New Roman" w:hAnsi="Times New Roman" w:cs="Times"/>
        </w:rPr>
        <w:t>, sans vêtement d'aucune sorte </w:t>
      </w:r>
      <w:r w:rsidRPr="00FB35F7">
        <w:rPr>
          <w:rStyle w:val="Rimandonotaapidipagina"/>
          <w:rFonts w:ascii="Times" w:hAnsi="Times" w:cs="Times"/>
        </w:rPr>
        <w:footnoteReference w:id="67"/>
      </w:r>
      <w:r w:rsidRPr="00FB35F7">
        <w:rPr>
          <w:rFonts w:ascii="Times New Roman" w:hAnsi="Times New Roman" w:cs="Times"/>
        </w:rPr>
        <w:t>. Or le résultat de ces interdits multipliés est de déterminer chez l'initié un changement d'état radical. Avant l'initiation, il vivait avec les femmes; il était exclu du culte. Désormais, il est admis dans la société des hommes ; il prend part aux rites, il a acquis un caractère sacré. La métamorphose est si complète qu'elle est souvent représentée comme une seconde naissance. On imagine que le personnage pro</w:t>
      </w:r>
      <w:r w:rsidRPr="00FB35F7">
        <w:rPr>
          <w:rFonts w:ascii="Times" w:hAnsi="Times" w:cs="Times"/>
        </w:rPr>
        <w:softHyphen/>
      </w:r>
      <w:r w:rsidRPr="00FB35F7">
        <w:rPr>
          <w:rFonts w:ascii="Times New Roman" w:hAnsi="Times New Roman" w:cs="Times"/>
        </w:rPr>
        <w:t>fane qu'était jusqu'alors le jeune homme est mort ; qu'il a été tué et remporté par le Dieu de l'initiation, Bunjil, Baiame, ou Daramulun, et qu'un individu tout autre a pris la place de celui qui n'est plus </w:t>
      </w:r>
      <w:r w:rsidRPr="00FB35F7">
        <w:rPr>
          <w:rStyle w:val="Rimandonotaapidipagina"/>
          <w:rFonts w:ascii="Times" w:hAnsi="Times" w:cs="Times"/>
        </w:rPr>
        <w:footnoteReference w:id="68"/>
      </w:r>
      <w:r w:rsidRPr="00FB35F7">
        <w:rPr>
          <w:rFonts w:ascii="Times New Roman" w:hAnsi="Times New Roman" w:cs="Times"/>
        </w:rPr>
        <w:t>. On saisit donc ici sur le vif les effets positifs que sont susceptibles d'avoir les rites négatifs. Sans doute nous n'entendons pas soutenir que ces derniers produisent, à eux seuls, cette grande transformation ; mais certainement ils y contribuent, et pour une large part.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 la lumière de ces faits, on peut comprendre ce que c'est que l'ascétisme, quelle place il occupe dans la vie religieuse, et d'où viennent les vertus qui lui ont été très généralement attribuées. Il n'y a pas en effet, d'interdit dont l'observance n'ait, à quelque degré, un caractère ascétique. S'abstenir d'une chose qui peut être utile ou d'une forme d'activité qui, puisqu'elle est usuelle, doit répondre à quelque besoin humain, c'est, de toute nécessité, s'imposer des gênes, des renoncements. Pour qu'il y ait ascétisme proprement dit, il suffit donc que ces pratiques se développent de manière à devenir la base d'un véritable régime de vie. Normale</w:t>
      </w:r>
      <w:r w:rsidRPr="00FB35F7">
        <w:rPr>
          <w:rFonts w:ascii="Times" w:hAnsi="Times" w:cs="Times"/>
        </w:rPr>
        <w:softHyphen/>
      </w:r>
      <w:r w:rsidRPr="00FB35F7">
        <w:rPr>
          <w:rFonts w:ascii="Times New Roman" w:hAnsi="Times New Roman" w:cs="Times"/>
        </w:rPr>
        <w:t>ment, le culte négatif ne sert guère que d'intro</w:t>
      </w:r>
      <w:r w:rsidRPr="00FB35F7">
        <w:rPr>
          <w:rFonts w:ascii="Times" w:hAnsi="Times" w:cs="Times"/>
        </w:rPr>
        <w:softHyphen/>
      </w:r>
      <w:r w:rsidRPr="00FB35F7">
        <w:rPr>
          <w:rFonts w:ascii="Times New Roman" w:hAnsi="Times New Roman" w:cs="Times"/>
        </w:rPr>
        <w:t>duction et de préparation au culte positif. Mais il arrive qu'il s'affranchit de cette subor</w:t>
      </w:r>
      <w:r w:rsidRPr="00FB35F7">
        <w:rPr>
          <w:rFonts w:ascii="Times" w:hAnsi="Times" w:cs="Times"/>
        </w:rPr>
        <w:softHyphen/>
      </w:r>
      <w:r w:rsidRPr="00FB35F7">
        <w:rPr>
          <w:rFonts w:ascii="Times New Roman" w:hAnsi="Times New Roman" w:cs="Times"/>
        </w:rPr>
        <w:t>di</w:t>
      </w:r>
      <w:r w:rsidRPr="00FB35F7">
        <w:rPr>
          <w:rFonts w:ascii="Times" w:hAnsi="Times" w:cs="Times"/>
        </w:rPr>
        <w:softHyphen/>
      </w:r>
      <w:r w:rsidRPr="00FB35F7">
        <w:rPr>
          <w:rFonts w:ascii="Times New Roman" w:hAnsi="Times New Roman" w:cs="Times"/>
        </w:rPr>
        <w:t xml:space="preserve">nation et passe au premier plan, que le système des interdits s'enfle et s'exagère au point d'envahir l'existence tout entière. Ainsi prend naissance l'ascétisme systématique qui, par conséquent, n'est pas autre chose qu'une hypertrophie du </w:t>
      </w:r>
      <w:r w:rsidRPr="00FB35F7">
        <w:rPr>
          <w:rFonts w:ascii="Times New Roman" w:hAnsi="Times New Roman" w:cs="Times"/>
        </w:rPr>
        <w:lastRenderedPageBreak/>
        <w:t>culte négatif. Les vertus spéciales qu'il est censé conférer ne sont qu'une forme amplifiée de celles que confère, à un moindre degré, la pratique de tout interdit. Elles ont la même origine ; car elles reposent également sur ce principe qu'on se sanctifie par cela seul qu'on fait effort pour se séparer du profane. Le pur ascète est un homme qui s'élève au-dessus des hommes et qui acquiert une sainteté particu</w:t>
      </w:r>
      <w:r w:rsidRPr="00FB35F7">
        <w:rPr>
          <w:rFonts w:ascii="Times" w:hAnsi="Times" w:cs="Times"/>
        </w:rPr>
        <w:softHyphen/>
      </w:r>
      <w:r w:rsidRPr="00FB35F7">
        <w:rPr>
          <w:rFonts w:ascii="Times New Roman" w:hAnsi="Times New Roman" w:cs="Times"/>
        </w:rPr>
        <w:t>lière par des jeûnes, des veilles, par la retraite et le silence, en un mot par des priva</w:t>
      </w:r>
      <w:r w:rsidRPr="00FB35F7">
        <w:rPr>
          <w:rFonts w:ascii="Times" w:hAnsi="Times" w:cs="Times"/>
        </w:rPr>
        <w:softHyphen/>
      </w:r>
      <w:r w:rsidRPr="00FB35F7">
        <w:rPr>
          <w:rFonts w:ascii="Times New Roman" w:hAnsi="Times New Roman" w:cs="Times"/>
        </w:rPr>
        <w:t>tions, plus que par des actes de piété positive (offrandes, sacrifices, prières, etc.). L'histoire montre, d'autre part, à quel haut prestige religieux on peut atteindre par cette voie : le saint bouddhiste est essentiellement un ascète, et il est égal ou supérieur aux dieux.</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suit de là que l'ascétisme n'est pas, comme on pourrait le croire, un fruit rare, excep</w:t>
      </w:r>
      <w:r w:rsidRPr="00FB35F7">
        <w:rPr>
          <w:rFonts w:ascii="Times" w:hAnsi="Times" w:cs="Times"/>
        </w:rPr>
        <w:softHyphen/>
      </w:r>
      <w:r w:rsidRPr="00FB35F7">
        <w:rPr>
          <w:rFonts w:ascii="Times New Roman" w:hAnsi="Times New Roman" w:cs="Times"/>
        </w:rPr>
        <w:t>tion</w:t>
      </w:r>
      <w:r w:rsidRPr="00FB35F7">
        <w:rPr>
          <w:rFonts w:ascii="Times" w:hAnsi="Times" w:cs="Times"/>
        </w:rPr>
        <w:softHyphen/>
      </w:r>
      <w:r w:rsidRPr="00FB35F7">
        <w:rPr>
          <w:rFonts w:ascii="Times New Roman" w:hAnsi="Times New Roman" w:cs="Times"/>
        </w:rPr>
        <w:t>nel et presque anormal de la vie religieuse ; c'en est, au contraire, un élément essentiel. Toute religion en contient au moins le germe, car il n'y en a pas où ne se rencontre un système d'interdits. La seule différence qu'il y ait sous ce rapport entre les cultes, c'est que ce germe y est plus ou moins développé. Encore convient-il d'ajouter qu'il n'en existe probable</w:t>
      </w:r>
      <w:r w:rsidRPr="00FB35F7">
        <w:rPr>
          <w:rFonts w:ascii="Times" w:hAnsi="Times" w:cs="Times"/>
        </w:rPr>
        <w:softHyphen/>
      </w:r>
      <w:r w:rsidRPr="00FB35F7">
        <w:rPr>
          <w:rFonts w:ascii="Times New Roman" w:hAnsi="Times New Roman" w:cs="Times"/>
        </w:rPr>
        <w:t>ment pas un seul où ce développement ne prenne, au moins à titre temporaire, les traits caractéristiques de l'ascétisme proprement dit. C'est ce qui a lieu généralement à certaines périodes critiques, oh en un temps relativement court, il faut susciter chez un sujet quelque grave changement d'état. Alors, pour pouvoir l'introduire plus rapidement dans le cercle des choses sacrées avec lesquelles il s'agit de le mettre en contact, on le sépare violemment du monde profane ; ce qui ne va pas sans abstinences multipliées, sans une recrudescence exceptionnelle du système des interdits. C'est précisément ce qui se produit, en Australie, au moment de l'initiation. Pour transformer les jeunes gens en hommes, on leur fait vivre une véritable vie d'ascètes. Mrs. Parker les appelle très justement les moines de Baiame </w:t>
      </w:r>
      <w:r w:rsidRPr="00FB35F7">
        <w:rPr>
          <w:rStyle w:val="Rimandonotaapidipagina"/>
          <w:rFonts w:ascii="Times" w:hAnsi="Times" w:cs="Times"/>
        </w:rPr>
        <w:footnoteReference w:id="69"/>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Mais abstinences et privations ne vont pas sans souffrances. Nous tenons par toutes les fibres de notre chair au monde profane; notre sensibilité nous y attache ; notre vie en dépend. Il n'est pas seulement le théâtre naturel de notre activité ; il nous pénètre de toutes parts ; il est partie de nous-même. Nous ne pouvons donc nous en détacher sans faire violence à notre nature, sans froisser douloureusement nos instincts. En d'autres termes, le culte négatif ne peut se développer sans faire souffrir. La douleur en est une condition nécessaire. On a été ainsi amené à la considérer comme constituant par elle-même une sorte de rite ; on y a vu un état de grâce qu'il faut rechercher et susciter, même artificiellement, à cause des pouvoirs et des privilèges qu'elle confère au même titre que ces systèmes d'interdits dont elle est l'accompagnement naturel. Preuss est le premier, à notre connaissance, qui ait eu le sentiment </w:t>
      </w:r>
      <w:r w:rsidRPr="00FB35F7">
        <w:rPr>
          <w:rFonts w:ascii="Times New Roman" w:hAnsi="Times New Roman" w:cs="Times"/>
        </w:rPr>
        <w:lastRenderedPageBreak/>
        <w:t>du rôle religieux </w:t>
      </w:r>
      <w:r w:rsidRPr="00FB35F7">
        <w:rPr>
          <w:rStyle w:val="Rimandonotaapidipagina"/>
          <w:rFonts w:ascii="Times" w:hAnsi="Times" w:cs="Times"/>
        </w:rPr>
        <w:footnoteReference w:id="70"/>
      </w:r>
      <w:r w:rsidRPr="00FB35F7">
        <w:rPr>
          <w:rFonts w:ascii="Times New Roman" w:hAnsi="Times New Roman" w:cs="Times"/>
        </w:rPr>
        <w:t xml:space="preserve"> qui est attribué à la douleur dès les sociétés inférieures. Il cite le cas des Arapaho qui, pour s'immuniser contre les dangers des batailles, s'infligent de véritables supplices ; des Indiens Gros-Ventre, qui, à la veille des expéditions militaires, se soumettent à de véritable tortures ; des Hupa qui, pour assurer le succès de leurs entreprises, nagent dans des rivières glacées et restent ensuite, le plus longtemps possible, étendus sur le rivage; des Karaya qui, pour affermir leurs muscles, se tirent de temps en temps du sang des bras et des jambes au moyen de grattoirs formés avec des dents de poissons; des gens de Dallmannhafen (Terre de l'Empereur Guillaume en Nouvelle-Guinée) qui combattent la stérilité de leurs femmes en leur pratiquant des incisions sanglantes dans la partie supérieure de la cuisse </w:t>
      </w:r>
      <w:r w:rsidRPr="00FB35F7">
        <w:rPr>
          <w:rStyle w:val="Rimandonotaapidipagina"/>
          <w:rFonts w:ascii="Times" w:hAnsi="Times" w:cs="Times"/>
        </w:rPr>
        <w:footnoteReference w:id="71"/>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on trouve des faits analogues sans sortir d'Australie, notamment au cours des céré</w:t>
      </w:r>
      <w:r w:rsidRPr="00FB35F7">
        <w:rPr>
          <w:rFonts w:ascii="Times" w:hAnsi="Times" w:cs="Times"/>
        </w:rPr>
        <w:softHyphen/>
      </w:r>
      <w:r w:rsidRPr="00FB35F7">
        <w:rPr>
          <w:rFonts w:ascii="Times New Roman" w:hAnsi="Times New Roman" w:cs="Times"/>
        </w:rPr>
        <w:t>monies d'initiation. Beaucoup des rites qui sont pratiqués à cette occasion consistent préci</w:t>
      </w:r>
      <w:r w:rsidRPr="00FB35F7">
        <w:rPr>
          <w:rFonts w:ascii="Times" w:hAnsi="Times" w:cs="Times"/>
        </w:rPr>
        <w:softHyphen/>
      </w:r>
      <w:r w:rsidRPr="00FB35F7">
        <w:rPr>
          <w:rFonts w:ascii="Times New Roman" w:hAnsi="Times New Roman" w:cs="Times"/>
        </w:rPr>
        <w:t>sé</w:t>
      </w:r>
      <w:r w:rsidRPr="00FB35F7">
        <w:rPr>
          <w:rFonts w:ascii="Times" w:hAnsi="Times" w:cs="Times"/>
        </w:rPr>
        <w:softHyphen/>
      </w:r>
      <w:r w:rsidRPr="00FB35F7">
        <w:rPr>
          <w:rFonts w:ascii="Times New Roman" w:hAnsi="Times New Roman" w:cs="Times"/>
        </w:rPr>
        <w:t>ment à infliger systématiquement au néophyte des souffrances déterminées, en vue de modi</w:t>
      </w:r>
      <w:r w:rsidRPr="00FB35F7">
        <w:rPr>
          <w:rFonts w:ascii="Times" w:hAnsi="Times" w:cs="Times"/>
        </w:rPr>
        <w:softHyphen/>
      </w:r>
      <w:r w:rsidRPr="00FB35F7">
        <w:rPr>
          <w:rFonts w:ascii="Times New Roman" w:hAnsi="Times New Roman" w:cs="Times"/>
        </w:rPr>
        <w:t>fier son état et de lui faire acquérir les qualités caractéristiques de l'homme. Ainsi, chez les Larakia, tandis que les jeunes gens sont en retraite dans la forêt, leurs parrains et surveillants leur assènent à chaque instant des coups violents, sans avertissement préalable comme sans raison </w:t>
      </w:r>
      <w:r w:rsidRPr="00FB35F7">
        <w:rPr>
          <w:rStyle w:val="Rimandonotaapidipagina"/>
          <w:rFonts w:ascii="Times" w:hAnsi="Times" w:cs="Times"/>
        </w:rPr>
        <w:footnoteReference w:id="72"/>
      </w:r>
      <w:r w:rsidRPr="00FB35F7">
        <w:rPr>
          <w:rFonts w:ascii="Times New Roman" w:hAnsi="Times New Roman" w:cs="Times"/>
        </w:rPr>
        <w:t>. Chez les Urabunna, à un moment donné, le novice est étendu par terre, la face contre le sol. Tous les hommes présents le frappent rudement ; puis on lui fait dans le dos une série d'entailles, de quatre à huit, disposées de chaque côté de l'épine dorsale, et une dans la ligne médiane de la nuque </w:t>
      </w:r>
      <w:r w:rsidRPr="00FB35F7">
        <w:rPr>
          <w:rStyle w:val="Rimandonotaapidipagina"/>
          <w:rFonts w:ascii="Times" w:hAnsi="Times" w:cs="Times"/>
        </w:rPr>
        <w:footnoteReference w:id="73"/>
      </w:r>
      <w:r w:rsidRPr="00FB35F7">
        <w:rPr>
          <w:rFonts w:ascii="Times New Roman" w:hAnsi="Times New Roman" w:cs="Times"/>
        </w:rPr>
        <w:t>. Chez les Arunta, le premier rite de l'initiation consiste à berner le sujet; les hommes le lancent en l'air, le rattrapent quand il retombe pour le lancer à nouveau </w:t>
      </w:r>
      <w:r w:rsidRPr="00FB35F7">
        <w:rPr>
          <w:rStyle w:val="Rimandonotaapidipagina"/>
          <w:rFonts w:ascii="Times" w:hAnsi="Times" w:cs="Times"/>
        </w:rPr>
        <w:footnoteReference w:id="74"/>
      </w:r>
      <w:r w:rsidRPr="00FB35F7">
        <w:rPr>
          <w:rFonts w:ascii="Times New Roman" w:hAnsi="Times New Roman" w:cs="Times"/>
        </w:rPr>
        <w:t xml:space="preserve">. Dans la même tribu, à la clôture de cette longue série de cérémonies, le jeune homme vient s'étendre sur un lit de feuillages sous lequel on a disposé des braises ardentes ; </w:t>
      </w:r>
      <w:r w:rsidRPr="00FB35F7">
        <w:rPr>
          <w:rFonts w:ascii="Times New Roman" w:hAnsi="Times New Roman" w:cs="Times"/>
        </w:rPr>
        <w:lastRenderedPageBreak/>
        <w:t>il reste cou</w:t>
      </w:r>
      <w:r w:rsidRPr="00FB35F7">
        <w:rPr>
          <w:rFonts w:ascii="Times" w:hAnsi="Times" w:cs="Times"/>
        </w:rPr>
        <w:softHyphen/>
      </w:r>
      <w:r w:rsidRPr="00FB35F7">
        <w:rPr>
          <w:rFonts w:ascii="Times New Roman" w:hAnsi="Times New Roman" w:cs="Times"/>
        </w:rPr>
        <w:t>ché, immobile au milieu d'une chaleur et d'une fumée suffocantes </w:t>
      </w:r>
      <w:r w:rsidRPr="00FB35F7">
        <w:rPr>
          <w:rStyle w:val="Rimandonotaapidipagina"/>
          <w:rFonts w:ascii="Times" w:hAnsi="Times" w:cs="Times"/>
        </w:rPr>
        <w:footnoteReference w:id="75"/>
      </w:r>
      <w:r w:rsidRPr="00FB35F7">
        <w:rPr>
          <w:rFonts w:ascii="Times New Roman" w:hAnsi="Times New Roman" w:cs="Times"/>
        </w:rPr>
        <w:t>. Chez les Urabunna, on observe un rite similaire ; mais de plus, tandis que le patient est dans cette pénible situation, on le frappe dans le dos </w:t>
      </w:r>
      <w:r w:rsidRPr="00FB35F7">
        <w:rPr>
          <w:rStyle w:val="Rimandonotaapidipagina"/>
          <w:rFonts w:ascii="Times" w:hAnsi="Times" w:cs="Times"/>
        </w:rPr>
        <w:footnoteReference w:id="76"/>
      </w:r>
      <w:r w:rsidRPr="00FB35F7">
        <w:rPr>
          <w:rFonts w:ascii="Times New Roman" w:hAnsi="Times New Roman" w:cs="Times"/>
        </w:rPr>
        <w:t>. D'une manière générale, tous les exercices auxquels il est soumis ont tellement ce caractère que, quand il est admis à reprendre la vie commune, il a un aspect pitoyable et paraît à demi stupéfié </w:t>
      </w:r>
      <w:r w:rsidRPr="00FB35F7">
        <w:rPr>
          <w:rStyle w:val="Rimandonotaapidipagina"/>
          <w:rFonts w:ascii="Times" w:hAnsi="Times" w:cs="Times"/>
        </w:rPr>
        <w:footnoteReference w:id="77"/>
      </w:r>
      <w:r w:rsidRPr="00FB35F7">
        <w:rPr>
          <w:rFonts w:ascii="Times New Roman" w:hAnsi="Times New Roman" w:cs="Times"/>
        </w:rPr>
        <w:t>. Il est vrai que toutes ces pratiques sont souvent présen</w:t>
      </w:r>
      <w:r w:rsidRPr="00FB35F7">
        <w:rPr>
          <w:rFonts w:ascii="Times" w:hAnsi="Times" w:cs="Times"/>
        </w:rPr>
        <w:softHyphen/>
      </w:r>
      <w:r w:rsidRPr="00FB35F7">
        <w:rPr>
          <w:rFonts w:ascii="Times New Roman" w:hAnsi="Times New Roman" w:cs="Times"/>
        </w:rPr>
        <w:t>tées comme des ordalies destinées à éprouver la valeur du néophyte et à faire savoir s'il est digne d'être admis dans la société religieuse </w:t>
      </w:r>
      <w:r w:rsidRPr="00FB35F7">
        <w:rPr>
          <w:rStyle w:val="Rimandonotaapidipagina"/>
          <w:rFonts w:ascii="Times" w:hAnsi="Times" w:cs="Times"/>
        </w:rPr>
        <w:footnoteReference w:id="78"/>
      </w:r>
      <w:r w:rsidRPr="00FB35F7">
        <w:rPr>
          <w:rFonts w:ascii="Times New Roman" w:hAnsi="Times New Roman" w:cs="Times"/>
        </w:rPr>
        <w:t>. Mais en réalité, la fonction probatoire du rite n'est qu'un autre aspect de son efficacité. Car ce que prouve la manière dont il est subi, c'est précisément qu'il a bien produit son effet, c'est-à-dire qu'il a conféré les qualités qui sont sa première raison d'être.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Dans d'autres cas, ces sévices rituels sont exercés, non sur l'organisme dans son ensem</w:t>
      </w:r>
      <w:r w:rsidRPr="00FB35F7">
        <w:rPr>
          <w:rFonts w:ascii="Times" w:hAnsi="Times" w:cs="Times"/>
        </w:rPr>
        <w:softHyphen/>
      </w:r>
      <w:r w:rsidRPr="00FB35F7">
        <w:rPr>
          <w:rFonts w:ascii="Times New Roman" w:hAnsi="Times New Roman" w:cs="Times"/>
        </w:rPr>
        <w:t>ble, mais sur un organe ou sur un tissu particulier dont ils ont pour objet de stimuler la vitalité. Ainsi, chez les Arunta, les Warramunga et plusieurs autres tribus </w:t>
      </w:r>
      <w:r w:rsidRPr="00FB35F7">
        <w:rPr>
          <w:rStyle w:val="Rimandonotaapidipagina"/>
          <w:rFonts w:ascii="Times" w:hAnsi="Times" w:cs="Times"/>
        </w:rPr>
        <w:footnoteReference w:id="79"/>
      </w:r>
      <w:r w:rsidRPr="00FB35F7">
        <w:rPr>
          <w:rFonts w:ascii="Times New Roman" w:hAnsi="Times New Roman" w:cs="Times"/>
        </w:rPr>
        <w:t>, à un moment donné de l'initiation, des personnages déterminés sont chargés de mordre à belles dents dans le cuir chevelu du novice. L'opération est tellement douloureuse que le patient ne peut généralement pas la supporter sans pousser des cris. Or elle a pour but de faire croître les cheveux </w:t>
      </w:r>
      <w:r w:rsidRPr="00FB35F7">
        <w:rPr>
          <w:rStyle w:val="Rimandonotaapidipagina"/>
          <w:rFonts w:ascii="Times" w:hAnsi="Times" w:cs="Times"/>
        </w:rPr>
        <w:footnoteReference w:id="80"/>
      </w:r>
      <w:r w:rsidRPr="00FB35F7">
        <w:rPr>
          <w:rFonts w:ascii="Times New Roman" w:hAnsi="Times New Roman" w:cs="Times"/>
        </w:rPr>
        <w:t>. On applique le même traitement en vue de faire pousser la barbe. Le rite de l'épilation, que Howitt nous signale dans d'autres tribus, pourrait bien avoir la même raison d'être </w:t>
      </w:r>
      <w:r w:rsidRPr="00FB35F7">
        <w:rPr>
          <w:rStyle w:val="Rimandonotaapidipagina"/>
          <w:rFonts w:ascii="Times" w:hAnsi="Times" w:cs="Times"/>
        </w:rPr>
        <w:footnoteReference w:id="81"/>
      </w:r>
      <w:r w:rsidRPr="00FB35F7">
        <w:rPr>
          <w:rFonts w:ascii="Times New Roman" w:hAnsi="Times New Roman" w:cs="Times"/>
        </w:rPr>
        <w:t>. D'après Eylmann, chez les Arunta et les Kaitish, hommes et femmes se font de petites blessures au bras au moyen de bâtons rougis au feu, afin de devenir habiles à faire le feu ou afin d'acquérir la force nécessaire pour porter de lourdes charges de bois </w:t>
      </w:r>
      <w:r w:rsidRPr="00FB35F7">
        <w:rPr>
          <w:rStyle w:val="Rimandonotaapidipagina"/>
          <w:rFonts w:ascii="Times" w:hAnsi="Times" w:cs="Times"/>
        </w:rPr>
        <w:footnoteReference w:id="82"/>
      </w:r>
      <w:r w:rsidRPr="00FB35F7">
        <w:rPr>
          <w:rFonts w:ascii="Times New Roman" w:hAnsi="Times New Roman" w:cs="Times"/>
        </w:rPr>
        <w:t>. Suivant le même observateur, les jeunes filles Warramunga s'amputent, à une main, la deuxième et la troisième phalange de l'index, dans la pensée que le doigt devient ainsi plus apte à découvrir les ignames </w:t>
      </w:r>
      <w:r w:rsidRPr="00FB35F7">
        <w:rPr>
          <w:rStyle w:val="Rimandonotaapidipagina"/>
          <w:rFonts w:ascii="Times" w:hAnsi="Times" w:cs="Times"/>
        </w:rPr>
        <w:footnoteReference w:id="83"/>
      </w:r>
      <w:r w:rsidRPr="00FB35F7">
        <w:rPr>
          <w:rFonts w:ascii="Times New Roman" w:hAnsi="Times New Roman" w:cs="Times"/>
        </w:rPr>
        <w:t>.</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 xml:space="preserve">Il ne serait pas impossible que l'extraction des dents fût parfois destinée à produire des effets du même genre. En tout cas, il est certain que les rites si cruels de la circoncision et de la subincision ont pour objet de conférer aux organes génitaux des pouvoirs particuliers. En effet, le jeune homme n'est admis au mariage qu'après s'y être soumis ; c'est donc qu'il leur doit des vertus spéciales. Ce qui rend indispensable cette initiation </w:t>
      </w:r>
      <w:r w:rsidRPr="00FB35F7">
        <w:rPr>
          <w:rFonts w:ascii="Times New Roman" w:hAnsi="Times New Roman" w:cs="Times"/>
          <w:i/>
          <w:iCs/>
        </w:rPr>
        <w:t>sui</w:t>
      </w:r>
      <w:r w:rsidRPr="00FB35F7">
        <w:rPr>
          <w:rFonts w:ascii="Times New Roman" w:hAnsi="Times New Roman" w:cs="Times"/>
        </w:rPr>
        <w:t xml:space="preserve"> </w:t>
      </w:r>
      <w:r w:rsidRPr="00FB35F7">
        <w:rPr>
          <w:rFonts w:ascii="Times New Roman" w:hAnsi="Times New Roman" w:cs="Times"/>
          <w:i/>
          <w:iCs/>
        </w:rPr>
        <w:t xml:space="preserve">generis, </w:t>
      </w:r>
      <w:r w:rsidRPr="00FB35F7">
        <w:rPr>
          <w:rFonts w:ascii="Times New Roman" w:hAnsi="Times New Roman" w:cs="Times"/>
        </w:rPr>
        <w:t xml:space="preserve">c'est que l'union des sexes est, dans toutes les sociétés inférieures, marquée d'un caractère religieux. Elle est censée mettre en jeu des forces redoutables que l'homme ne peut aborder sans </w:t>
      </w:r>
      <w:r w:rsidRPr="00FB35F7">
        <w:rPr>
          <w:rFonts w:ascii="Times New Roman" w:hAnsi="Times New Roman" w:cs="Times"/>
        </w:rPr>
        <w:lastRenderedPageBreak/>
        <w:t>danger, à moins d'avoir acquis, par des procédés rituels, l'immunité nécessaire </w:t>
      </w:r>
      <w:r w:rsidRPr="00FB35F7">
        <w:rPr>
          <w:rStyle w:val="Rimandonotaapidipagina"/>
          <w:rFonts w:ascii="Times" w:hAnsi="Times" w:cs="Times"/>
        </w:rPr>
        <w:footnoteReference w:id="84"/>
      </w:r>
      <w:r w:rsidRPr="00FB35F7">
        <w:rPr>
          <w:rFonts w:ascii="Times New Roman" w:hAnsi="Times New Roman" w:cs="Times"/>
        </w:rPr>
        <w:t xml:space="preserve"> : c'est à quoi est employée toute une série de pratiques, positives et négatives, dont la circoncision et la subincision sont le prodrome. En mutilant douloureusement un organe, on lui donne donc un caractère sacré, puisqu'on le met, par cela même, en état de résister à des forces également sacrées, qu'il ne pourrait pas affronter autrement.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disions au début de cet ouvrage que tous les éléments essentiels de la pensée et de la vie religieuse doivent se retrouver, au moins en germe, dès les religions les plus primitives: les faits qui précèdent confirment cette assertion. S'il est une croyance qui passe pour être spéciale aux religions les plus récentes et les plus idéalistes, c'est celle qui attribue à la dou</w:t>
      </w:r>
      <w:r w:rsidRPr="00FB35F7">
        <w:rPr>
          <w:rFonts w:ascii="Times" w:hAnsi="Times" w:cs="Times"/>
        </w:rPr>
        <w:softHyphen/>
      </w:r>
      <w:r w:rsidRPr="00FB35F7">
        <w:rPr>
          <w:rFonts w:ascii="Times New Roman" w:hAnsi="Times New Roman" w:cs="Times"/>
        </w:rPr>
        <w:t>leur un pouvoir sanctifiant. Or, cette même croyance est à la base des rites qui viennent d'être observés. Sans doute, elle est étendue différemment suivant les moments de l'histoire où on la considère. Pour le chrétien, c'est surtout sur l'âme qu'elle est censée agir : elle l'épure, l'anoblit, la spiritualise. Pour l'Australien, c'est sur le corps qu'elle est efficace ; elle accroît les énergies vitales ; elle fait pousser la barbe et les cheveux, elle endurcit les membres. Mais, de part et d'autre, le principe est le même. Ici et là, on admet que la douleur est généra</w:t>
      </w:r>
      <w:r w:rsidRPr="00FB35F7">
        <w:rPr>
          <w:rFonts w:ascii="Times" w:hAnsi="Times" w:cs="Times"/>
        </w:rPr>
        <w:softHyphen/>
      </w:r>
      <w:r w:rsidRPr="00FB35F7">
        <w:rPr>
          <w:rFonts w:ascii="Times New Roman" w:hAnsi="Times New Roman" w:cs="Times"/>
        </w:rPr>
        <w:t>trice de forces exceptionnelles. Et cette croyance n'est pas sans fondement. C'est, en effet, par la manière dont il brave la douleur que se manifeste le mieux la grandeur de l'homme. jamais il ne s'élève avec plus d'éclat au-dessus de lui-même que quand il dompte sa nature au point de lui faire suivre une voie contraire à celle qu'elle prendrait spontanément. Par là, il se singularise entre toutes les autres créatures qui, elles, vont aveuglément oh les appelle le plaisir ; par là, il se fait une place à part dans le monde. La douleur est le signe que certains des liens qui l'attachent au milieu profane sont rompus ; elle atteste donc qu'il est partielle</w:t>
      </w:r>
      <w:r w:rsidRPr="00FB35F7">
        <w:rPr>
          <w:rFonts w:ascii="Times" w:hAnsi="Times" w:cs="Times"/>
        </w:rPr>
        <w:softHyphen/>
      </w:r>
      <w:r w:rsidRPr="00FB35F7">
        <w:rPr>
          <w:rFonts w:ascii="Times New Roman" w:hAnsi="Times New Roman" w:cs="Times"/>
        </w:rPr>
        <w:t>ment affranchi de ce milieu et, par suite, elle est justement considérée comme l'instrument de la délivrance. Aussi celui qui est ainsi délivré n'est-il pas victime d'une pure illusion quand il se croit investi d'une sorte de maîtrise sur les choses : il s'est réellement élevé au-dessus d'elles, par cela même qu'il y a renoncé ; il est plus fort que la nature puisqu'il la fait taire.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s'en faut, d'ailleurs, que cette vertu n'ait qu'une valeur esthétique : toute la vie religieuse la suppose. Sacrifices et offrandes ne vont pas sans privations qui coûtent au fidèle. Alors même que les rites n'exigent pas de lui des prestations matérielles, ils lui prennent de son temps et de ses forces. Pour servir des dieux, il faut qu'il s'oublie ; pour leur faire dans sa vie la place qui leur revient, il faut qu'il sacrifie de ses intérêts profanes. Le culte positif n'est donc possible que si l'homme est entraîné au renoncement, à l'abnégation, au détachement de soi et, par conséquent, à la souffrance. Il faut qu'il ne la redoute pas : il ne peut même s'acquitter joyeusement de ses devoirs qu'à condition de l'aimer à quelque degré. Mais pour cela, il est indispensable qu'il y soit exercé, et c'est à quoi tendent les pratiques ascétiques. Les douleurs qu'elles imposent ne sont donc pas des cruautés arbitraires et stériles ; c'est une école nécessaire où l'homme se forme et se trempe, où il acquiert les qualités de désintéresse</w:t>
      </w:r>
      <w:r w:rsidRPr="00FB35F7">
        <w:rPr>
          <w:rFonts w:ascii="Times" w:hAnsi="Times" w:cs="Times"/>
        </w:rPr>
        <w:softHyphen/>
      </w:r>
      <w:r w:rsidRPr="00FB35F7">
        <w:rPr>
          <w:rFonts w:ascii="Times New Roman" w:hAnsi="Times New Roman" w:cs="Times"/>
        </w:rPr>
        <w:t xml:space="preserve">ment et d'endurance sans lesquelles il n'y a pas de religion. Même, pour que ce résultat soit obtenu, il est bon que l'idéal ascétique vienne s'incarner éminemment en des personnages particuliers dont c'est, pour ainsi dire, la spécialité de représenter, presque avec excès, cet </w:t>
      </w:r>
      <w:r w:rsidRPr="00FB35F7">
        <w:rPr>
          <w:rFonts w:ascii="Times New Roman" w:hAnsi="Times New Roman" w:cs="Times"/>
        </w:rPr>
        <w:lastRenderedPageBreak/>
        <w:t>aspect de la vie rituelle ; car ils sont comme autant de modèles vivants qui incitent à l'effort. Tel est le rôle historique des grands ascètes. Quand on analyse dans le détail leurs faits et leurs gestes, on se demande quelle en peut être la fin utile. On est frappé de ce qu'il y a d'outré dans le mépris qu'ils professent pour tout ce qui passionne ordinairement les hommes. Mais ces outrances sont nécessaires pour entretenir chez les fidèles un suffisant dégoût de la vie facile et des plaisirs communs. Il faut qu'une élite mette le but trop haut pour que la foule ne le mette pas trop bas. Il faut que quelques-uns exagèrent pour que la moyenne reste au niveau qui convient.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l'ascétisme ne sert pas seulement à des fins religieuses. Ici, comme ailleurs, les intérêts religieux ne sont que la forme symbolique d'intérêts sociaux et moraux. Les êtres idéaux auxquels s'adressent les cultes ne sont pas les seuls à réclamer de leurs serviteurs un certain mépris de la douleur : la société, elle aussi, n'est possible qu'à ce prix. Tout en exal</w:t>
      </w:r>
      <w:r w:rsidRPr="00FB35F7">
        <w:rPr>
          <w:rFonts w:ascii="Times" w:hAnsi="Times" w:cs="Times"/>
        </w:rPr>
        <w:softHyphen/>
      </w:r>
      <w:r w:rsidRPr="00FB35F7">
        <w:rPr>
          <w:rFonts w:ascii="Times New Roman" w:hAnsi="Times New Roman" w:cs="Times"/>
        </w:rPr>
        <w:t>tant les forces de l'homme, elle est souvent rude aux individus elle exige nécessairement d'eux de perpétuels sacrifices elle fait sans cesse violence à nos appétits naturels, précisément parce qu'elle nous élève au-dessus de nous-mêmes. Pour que nous puissions remplir nos devoirs envers elle, il faut donc que nous soyons dressés à violenter parfois nos instincts, à remonter, quand il le faut, la pente de la nature. Ainsi, il y a un ascétisme qui, inhérent à toute vie sociale, est destiné à survivre à toutes les mythologies et à tous les dogmes; il fait partie intégrante de toute culture humaine. Et c'est lui, au fond, qui est la raison d'être et la justification de celui qu'ont enseigné les religions de tous les temps.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7" w:name="livre_3_chap_1_3"/>
      <w:r w:rsidRPr="00FB35F7">
        <w:rPr>
          <w:rFonts w:ascii="Times New Roman" w:hAnsi="Times New Roman"/>
        </w:rPr>
        <w:t>III</w:t>
      </w:r>
    </w:p>
    <w:bookmarkEnd w:id="7"/>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Après avoir déterminé en quoi consiste le système des interdits et quelles en sont les fonc</w:t>
      </w:r>
      <w:r w:rsidRPr="00FB35F7">
        <w:rPr>
          <w:rFonts w:ascii="Times" w:hAnsi="Times" w:cs="Times"/>
        </w:rPr>
        <w:softHyphen/>
      </w:r>
      <w:r w:rsidRPr="00FB35F7">
        <w:rPr>
          <w:rFonts w:ascii="Times New Roman" w:hAnsi="Times New Roman" w:cs="Times"/>
        </w:rPr>
        <w:t>tions négatives et positives, il nous faut rechercher quelles causes lui ont donné naissance.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En un sens, il est logiquement impliqué dans la notion même du sacré. Tout ce qui est sacré est objet de respect et tout sentiment de respect se traduit, chez celui qui l'éprouve, par des mouvements d'inhibition. Un être respecté, en effet, est toujours exprimé dans la conscience par une représentation qui, en raison de l'émotion qu'il inspire, est chargée d'une haute énergie mentale; par suite, elle est armée de manière à rejeter loin d'elle tout autre représentation qui la nie, soit en totalité soit en partie. Or le monde sacré soutient avec le monde profane un rapport d'antagonisme. Ils répondent à deux formes de vie qui s'excluent, qui, tout au moins, ne peuvent être vécues au même moment avec la même intensité. Nous ne pouvons pas être, à la fois, tout entiers aux êtres idéaux auxquels le culte, s'adresse, et tout entiers à nous-mêmes et à nos intérêts sensibles ; tout entiers à la collectivité et tout entiers à notre égoïsme. Il y a là deux systèmes d'états de conscience qui sont orientés et qui orientent notre conduite vers deux pôles contraires. Celui qui a la plus grande puissance d'action doit </w:t>
      </w:r>
      <w:r w:rsidRPr="00FB35F7">
        <w:rPr>
          <w:rFonts w:ascii="Times New Roman" w:hAnsi="Times New Roman" w:cs="Times"/>
        </w:rPr>
        <w:lastRenderedPageBreak/>
        <w:t>donc tendre à repousser l'autre hors de la conscience. Quand nous pensons aux choses saintes, l'idée d'un objet profane ne peut se présenter à l'esprit sans se heurter à des résistances ; quelque chose en nous s'oppose à ce qu'elle s'y installe. C'est la représentation du sacré qui ne tolère pas ce voisinage. Mais cet antagonisme psychique, cette exclusion mutuelle des idées doit naturellement aboutir à l'exclusion des choses correspondantes.</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Pour que les idées ne coexistent pas, il faut que les choses ne se touchent pas, ne soient d'aucune manière en rapports. C'est le principe même de l'interdit.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De plus, le monde du sacré est, par définition, un monde à part. Puisqu'il s'oppose, par tous les caractères que nous avons dits, au inonde profane, il doit être traité d'une manière qui lui soit propre : ce serait méconnaître sa nature et le confondre avec ce qui n'est pas lui que d'employer, dans nos rapports avec les choses qui le composent, les gestes, le langage, les attitudes qui nous servent dans nos relations avec les choses profanes. Nous pouvons librement manier ces dernières ; nous parlons librement aux êtres vulgaires ; nous ne touche</w:t>
      </w:r>
      <w:r w:rsidRPr="00FB35F7">
        <w:rPr>
          <w:rFonts w:ascii="Times" w:hAnsi="Times" w:cs="Times"/>
        </w:rPr>
        <w:softHyphen/>
      </w:r>
      <w:r w:rsidRPr="00FB35F7">
        <w:rPr>
          <w:rFonts w:ascii="Times New Roman" w:hAnsi="Times New Roman" w:cs="Times"/>
        </w:rPr>
        <w:t>rons donc pas aux êtres sacrés, ou nous n'y toucherons qu'avec réserve ; nous ne parlerons pas en leur présence ou nous ne parlerons pas la langue commune. Tout ce qui est en usage dans notre commerce avec les uns doit être exclu de notre commerce avec les autres.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cette explication n'est pas inexacte, elle est pourtant insuffisante. En effet, il y a bien des êtres qui sont objets de respect sans être protégés par des systèmes d'interdictions rigoureuses comme sont celles que nous avons décrites. Sans doute, il y a une sorte de tendance générale de l'esprit à localiser dans des milieux différents des choses différentes, surtout quand elles sont incompatibles les unes avec les autres. Mais le milieu profane et le milieu sacré ne sont pas seulement distincts, ils sont fermés l'un à l'autre : entre eux, il y existe un abîme. Il doit donc y avoir, dans la nature des êtres sacrés, une raison particulière qui rend nécessaire cet état d'isolement exceptionnel et de mutuelle occlusion. Et en effet, par une sorte de contradiction, le monde sacré est comme enclin, par sa nature même, à se répan</w:t>
      </w:r>
      <w:r w:rsidRPr="00FB35F7">
        <w:rPr>
          <w:rFonts w:ascii="Times" w:hAnsi="Times" w:cs="Times"/>
        </w:rPr>
        <w:softHyphen/>
      </w:r>
      <w:r w:rsidRPr="00FB35F7">
        <w:rPr>
          <w:rFonts w:ascii="Times New Roman" w:hAnsi="Times New Roman" w:cs="Times"/>
        </w:rPr>
        <w:t>dre dans ce même monde profane qu'il exclut par ailleurs : en même temps qu'il le repousse, il tend à s'y écouler dès qu'il s'en laisse seulement approcher. C'est pourquoi il est nécessaire de les tenir à distance l'un de l'autre et de faire, en quelque sorte, le vide entre eux. Ce qui oblige à ces précautions, c'est l'extraordinaire contagiosité du caractère sacré. Loin de rester attaché aux choses qui en sont marquées, il est doué d'une sorte de fugacité. Le contact même le plus superficiel ou le plus médiat suffit pour qu'il s'étende d'un objet à l'autre. Les forces religieuses sont représentées aux esprits de telle sorte qu'elles semblent toujours prêtres à s'échapper des points où elles résident pour envahir tout ce qui passe à leur portée. L'arbre nanja oit habite l'esprit d'un ancêtre est sacré pour l'individu qui se considère comme la réincarnation de cet ancêtre. Mais tout oiseau qui vient se poser sur cet arbre participe du même caractère : il est également interdit d'y toucher </w:t>
      </w:r>
      <w:r w:rsidRPr="00FB35F7">
        <w:rPr>
          <w:rStyle w:val="Rimandonotaapidipagina"/>
          <w:rFonts w:ascii="Times" w:hAnsi="Times" w:cs="Times"/>
        </w:rPr>
        <w:footnoteReference w:id="85"/>
      </w:r>
      <w:r w:rsidRPr="00FB35F7">
        <w:rPr>
          <w:rFonts w:ascii="Times New Roman" w:hAnsi="Times New Roman" w:cs="Times"/>
        </w:rPr>
        <w:t>. Nous avons eu déjà l'occasion de montrer comment le simple contact d'un churinga suffit à sanctifier gens et choses </w:t>
      </w:r>
      <w:r w:rsidRPr="00FB35F7">
        <w:rPr>
          <w:rStyle w:val="Rimandonotaapidipagina"/>
          <w:rFonts w:ascii="Times" w:hAnsi="Times" w:cs="Times"/>
        </w:rPr>
        <w:footnoteReference w:id="86"/>
      </w:r>
      <w:r w:rsidRPr="00FB35F7">
        <w:rPr>
          <w:rFonts w:ascii="Times New Roman" w:hAnsi="Times New Roman" w:cs="Times"/>
        </w:rPr>
        <w:t xml:space="preserve">; c'est, d'ailleurs, sur ce principe de la contagiosité du sacré que reposent tous les rites de consécration. La sainteté des churinga est même telle qu'elle fait sentir son action à distance. </w:t>
      </w:r>
      <w:r w:rsidRPr="00FB35F7">
        <w:rPr>
          <w:rFonts w:ascii="Times New Roman" w:hAnsi="Times New Roman" w:cs="Times"/>
        </w:rPr>
        <w:lastRenderedPageBreak/>
        <w:t>On se rappelle comment elle s'étend non seulement à la cavité où ils sont conservés, mais à toute la région avoisinante, aux animaux qui s'y réfugient et qu'il est défendu de tuer, aux plantes qui y poussent et auxquelles on ne doit pas toucher </w:t>
      </w:r>
      <w:r w:rsidRPr="00FB35F7">
        <w:rPr>
          <w:rStyle w:val="Rimandonotaapidipagina"/>
          <w:rFonts w:ascii="Times" w:hAnsi="Times" w:cs="Times"/>
        </w:rPr>
        <w:footnoteReference w:id="87"/>
      </w:r>
      <w:r w:rsidRPr="00FB35F7">
        <w:rPr>
          <w:rFonts w:ascii="Times New Roman" w:hAnsi="Times New Roman" w:cs="Times"/>
        </w:rPr>
        <w:t>. Un totem du serpent a son centre en un lieu où se trouve un trou d'eau. Le caractère sacré dit totem se communique à l'endroit, au trou d'eau, à l'eau elle-même qui est interdite à tous les membres du groupe totémique </w:t>
      </w:r>
      <w:r w:rsidRPr="00FB35F7">
        <w:rPr>
          <w:rStyle w:val="Rimandonotaapidipagina"/>
          <w:rFonts w:ascii="Times" w:hAnsi="Times" w:cs="Times"/>
        </w:rPr>
        <w:footnoteReference w:id="88"/>
      </w:r>
      <w:r w:rsidRPr="00FB35F7">
        <w:rPr>
          <w:rFonts w:ascii="Times New Roman" w:hAnsi="Times New Roman" w:cs="Times"/>
        </w:rPr>
        <w:t>. L'initié vit dans une atmosphère toute chargée de religiosité et il en est lui-même comme imprégné </w:t>
      </w:r>
      <w:r w:rsidRPr="00FB35F7">
        <w:rPr>
          <w:rStyle w:val="Rimandonotaapidipagina"/>
          <w:rFonts w:ascii="Times" w:hAnsi="Times" w:cs="Times"/>
        </w:rPr>
        <w:footnoteReference w:id="89"/>
      </w:r>
      <w:r w:rsidRPr="00FB35F7">
        <w:rPr>
          <w:rFonts w:ascii="Times New Roman" w:hAnsi="Times New Roman" w:cs="Times"/>
        </w:rPr>
        <w:t>. Par suite, tout ce qu'il possède, tout ce qu'il touche est interdit aux fem</w:t>
      </w:r>
      <w:r w:rsidRPr="00FB35F7">
        <w:rPr>
          <w:rFonts w:ascii="Times" w:hAnsi="Times" w:cs="Times"/>
        </w:rPr>
        <w:softHyphen/>
      </w:r>
      <w:r w:rsidRPr="00FB35F7">
        <w:rPr>
          <w:rFonts w:ascii="Times New Roman" w:hAnsi="Times New Roman" w:cs="Times"/>
        </w:rPr>
        <w:t>mes et soustrait à leur contact, même l'oiseau qu'il a frappé de son bâton, le kangourou qu'il a percé de sa lance, le poisson qui a mordu à son hameçon </w:t>
      </w:r>
      <w:r w:rsidRPr="00FB35F7">
        <w:rPr>
          <w:rStyle w:val="Rimandonotaapidipagina"/>
          <w:rFonts w:ascii="Times" w:hAnsi="Times" w:cs="Times"/>
        </w:rPr>
        <w:footnoteReference w:id="90"/>
      </w:r>
      <w:r w:rsidRPr="00FB35F7">
        <w:rPr>
          <w:rFonts w:ascii="Times New Roman" w:hAnsi="Times New Roman" w:cs="Times"/>
        </w:rPr>
        <w:t>. Mais d'un autre côté, les rites auxquels il est soumis et les choses qui y jouent un rôle sont d'une sainteté supérieure à la sienne : cette sainteté se trans</w:t>
      </w:r>
      <w:r w:rsidRPr="00FB35F7">
        <w:rPr>
          <w:rFonts w:ascii="Times" w:hAnsi="Times" w:cs="Times"/>
        </w:rPr>
        <w:softHyphen/>
      </w:r>
      <w:r w:rsidRPr="00FB35F7">
        <w:rPr>
          <w:rFonts w:ascii="Times New Roman" w:hAnsi="Times New Roman" w:cs="Times"/>
        </w:rPr>
        <w:t>met contagieusement à tout ce qui évoque l'idée des unes ou des autres. La dent qui lui a été arrachée est considérée comme très sainte </w:t>
      </w:r>
      <w:r w:rsidRPr="00FB35F7">
        <w:rPr>
          <w:rStyle w:val="Rimandonotaapidipagina"/>
          <w:rFonts w:ascii="Times" w:hAnsi="Times" w:cs="Times"/>
        </w:rPr>
        <w:footnoteReference w:id="91"/>
      </w:r>
      <w:r w:rsidRPr="00FB35F7">
        <w:rPr>
          <w:rFonts w:ascii="Times New Roman" w:hAnsi="Times New Roman" w:cs="Times"/>
        </w:rPr>
        <w:t>. Pour cette raison, il ne peut manger d'animaux qui ont des dents proéminentes parce qu'ils font penser à la dent extraite. Les cérémonies du Kuringal se terminent par un lavage rituel </w:t>
      </w:r>
      <w:r w:rsidRPr="00FB35F7">
        <w:rPr>
          <w:rStyle w:val="Rimandonotaapidipagina"/>
          <w:rFonts w:ascii="Times" w:hAnsi="Times" w:cs="Times"/>
        </w:rPr>
        <w:footnoteReference w:id="92"/>
      </w:r>
      <w:r w:rsidRPr="00FB35F7">
        <w:rPr>
          <w:rFonts w:ascii="Times New Roman" w:hAnsi="Times New Roman" w:cs="Times"/>
        </w:rPr>
        <w:t xml:space="preserve"> ; les oiseaux aquatiques sont interdits au néophyte parce qu'ils rappellent ce rite. Les animaux qui grim</w:t>
      </w:r>
      <w:r w:rsidRPr="00FB35F7">
        <w:rPr>
          <w:rFonts w:ascii="Times" w:hAnsi="Times" w:cs="Times"/>
        </w:rPr>
        <w:softHyphen/>
      </w:r>
      <w:r w:rsidRPr="00FB35F7">
        <w:rPr>
          <w:rFonts w:ascii="Times New Roman" w:hAnsi="Times New Roman" w:cs="Times"/>
        </w:rPr>
        <w:t>pent au faîte des arbres lui sont également sacrés, parce qu'ils sont trop voisins de Daramulun, dieu de l'initiation, qui vit dans les cieux </w:t>
      </w:r>
      <w:r w:rsidRPr="00FB35F7">
        <w:rPr>
          <w:rStyle w:val="Rimandonotaapidipagina"/>
          <w:rFonts w:ascii="Times" w:hAnsi="Times" w:cs="Times"/>
        </w:rPr>
        <w:footnoteReference w:id="93"/>
      </w:r>
      <w:r w:rsidRPr="00FB35F7">
        <w:rPr>
          <w:rFonts w:ascii="Times New Roman" w:hAnsi="Times New Roman" w:cs="Times"/>
        </w:rPr>
        <w:t>. L'âme du mort est un être sacré : nous avons vu déjà que la même propriété passe au corps où cette âme a résidé, à l'endroit où il est enseveli, au camp où le vivant a habité et que l'on détruit ou que l'on quitte, au nom qu'il a porté, à sa femme et à ses parents </w:t>
      </w:r>
      <w:r w:rsidRPr="00FB35F7">
        <w:rPr>
          <w:rStyle w:val="Rimandonotaapidipagina"/>
          <w:rFonts w:ascii="Times" w:hAnsi="Times" w:cs="Times"/>
        </w:rPr>
        <w:footnoteReference w:id="94"/>
      </w:r>
      <w:r w:rsidRPr="00FB35F7">
        <w:rPr>
          <w:rFonts w:ascii="Times New Roman" w:hAnsi="Times New Roman" w:cs="Times"/>
        </w:rPr>
        <w:t>. Ils sont comme investis, eux aussi, d'un caractère sacré ; par suite on se tient à distance d'eux ; on ne les traite pas comme de simples profanes. Dans les sociétés observées par Dawson, leurs noms, tout comme celui du mort, ne peuvent être prononcés durant la période de deuil </w:t>
      </w:r>
      <w:r w:rsidRPr="00FB35F7">
        <w:rPr>
          <w:rStyle w:val="Rimandonotaapidipagina"/>
          <w:rFonts w:ascii="Times" w:hAnsi="Times" w:cs="Times"/>
        </w:rPr>
        <w:footnoteReference w:id="95"/>
      </w:r>
      <w:r w:rsidRPr="00FB35F7">
        <w:rPr>
          <w:rFonts w:ascii="Times New Roman" w:hAnsi="Times New Roman" w:cs="Times"/>
        </w:rPr>
        <w:t>. Certains des animaux qu'il mangeait souvent aussi être prohibés </w:t>
      </w:r>
      <w:r w:rsidRPr="00FB35F7">
        <w:rPr>
          <w:rStyle w:val="Rimandonotaapidipagina"/>
          <w:rFonts w:ascii="Times" w:hAnsi="Times" w:cs="Times"/>
        </w:rPr>
        <w:footnoteReference w:id="96"/>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Cette contagiosité du sacré est un fait trop connu </w:t>
      </w:r>
      <w:r w:rsidRPr="00FB35F7">
        <w:rPr>
          <w:rStyle w:val="Rimandonotaapidipagina"/>
          <w:rFonts w:ascii="Times" w:hAnsi="Times" w:cs="Times"/>
        </w:rPr>
        <w:footnoteReference w:id="97"/>
      </w:r>
      <w:r w:rsidRPr="00FB35F7">
        <w:rPr>
          <w:rFonts w:ascii="Times New Roman" w:hAnsi="Times New Roman" w:cs="Times"/>
        </w:rPr>
        <w:t xml:space="preserve"> pour qu'il y ait lieu d'en démontrer l'existence par de plus nombreux exemples ; nous voulions seulement établir qu'elle est vraie du totémisme comme des religions plus avancées. Une fois constatée, elle explique aisément </w:t>
      </w:r>
      <w:r w:rsidRPr="00FB35F7">
        <w:rPr>
          <w:rFonts w:ascii="Times New Roman" w:hAnsi="Times New Roman" w:cs="Times"/>
        </w:rPr>
        <w:lastRenderedPageBreak/>
        <w:t>l'extrême rigueur des interdits qui séparent le sacré du profane. Puisque, en vertu de cette extraordinaire puissance d'expansion, le contact le plus léger, la moindre proximité, maté</w:t>
      </w:r>
      <w:r w:rsidRPr="00FB35F7">
        <w:rPr>
          <w:rFonts w:ascii="Times" w:hAnsi="Times" w:cs="Times"/>
        </w:rPr>
        <w:softHyphen/>
      </w:r>
      <w:r w:rsidRPr="00FB35F7">
        <w:rPr>
          <w:rFonts w:ascii="Times New Roman" w:hAnsi="Times New Roman" w:cs="Times"/>
        </w:rPr>
        <w:t>rielle ou simplement morale, d'un être profane suffit à entraîner les forces religieuses hors de leur domaine, et puisque, d'autre part, elles ne peuvent en sortir sans contredire leur nature, tout un système de mesures est indispensable pour maintenir les deux mondes à distance respectueuse l'un de l'autre. Voilà pourquoi il est interdit au vulgaire non seulement de toucher, mais de voir, d'entendre ce qui est sacré; pourquoi ces deux genres de vie ne doivent pas se mêler dans les consciences. Il faut d'autant plus de précautions pour les tenir séparés que, tout en s'opposant l'un à l'autre, ils tendent à se confondre l'un dans l'autre.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même temps que la multiplicité de ces interdits, on comprend la manière dont ils fonctionnent et les sanctions qui y sont attachées. Par suite de la contagiosité inhérente à tout ce qui est sacré, un être profane ne peut violer un interdit sans que la force religieuse dont il s'est indûment approché ne s'étende jusqu'à lui et n'établisse sur lui son empire. Mais comme, entre elle et lui, il y a antagonisme, il se trouve placé sous la dépendance d'une puissance hostile et dont l'hostilité ne peut manquer de se manifester sous forme de réactions violentes qui tendent à le détruire.</w:t>
      </w:r>
    </w:p>
    <w:p w:rsidR="003F2F8E" w:rsidRPr="00FB35F7" w:rsidRDefault="003F2F8E">
      <w:pPr>
        <w:jc w:val="both"/>
        <w:rPr>
          <w:rFonts w:ascii="Times New Roman" w:hAnsi="Times New Roman" w:cs="Times"/>
        </w:rPr>
      </w:pPr>
      <w:r w:rsidRPr="00FB35F7">
        <w:rPr>
          <w:rFonts w:ascii="Times New Roman" w:hAnsi="Times New Roman" w:cs="Times"/>
          <w:sz w:val="20"/>
          <w:szCs w:val="20"/>
        </w:rPr>
        <w:t xml:space="preserve"> </w:t>
      </w:r>
    </w:p>
    <w:p w:rsidR="003F2F8E" w:rsidRPr="00FB35F7" w:rsidRDefault="003F2F8E">
      <w:pPr>
        <w:jc w:val="both"/>
        <w:rPr>
          <w:rFonts w:ascii="Times New Roman" w:hAnsi="Times New Roman" w:cs="Times"/>
        </w:rPr>
      </w:pPr>
      <w:r w:rsidRPr="00FB35F7">
        <w:rPr>
          <w:rFonts w:ascii="Times New Roman" w:hAnsi="Times New Roman" w:cs="Times"/>
        </w:rPr>
        <w:t>C'est pourquoi la maladie ou la mort sont considérées comme les conséquences naturelles de toute transgression de ce genre ; et ce sont des conséquences qui passent pour se produire d'elles-mêmes, avec une sorte de nécessité physique. Le coupable se sent envahi par une force qui le domine et contre laquelle il est impuissant. A-t-il mangé de l'animal totémique ? Il le sent pénétrer en lui et lui ronger les entrailles ; il se couche par terre et attend la mort </w:t>
      </w:r>
      <w:r w:rsidRPr="00FB35F7">
        <w:rPr>
          <w:rStyle w:val="Rimandonotaapidipagina"/>
          <w:rFonts w:ascii="Times" w:hAnsi="Times" w:cs="Times"/>
        </w:rPr>
        <w:footnoteReference w:id="98"/>
      </w:r>
      <w:r w:rsidRPr="00FB35F7">
        <w:rPr>
          <w:rFonts w:ascii="Times New Roman" w:hAnsi="Times New Roman" w:cs="Times"/>
        </w:rPr>
        <w:t>. Toute profanation implique une consécration, mais qui est redoutable au sujet consacré et à ceux mêmes qui l'approchent. Ce sont les suites de cette consécration qui sanctionnent en partie l'interdit </w:t>
      </w:r>
      <w:r w:rsidRPr="00FB35F7">
        <w:rPr>
          <w:rStyle w:val="Rimandonotaapidipagina"/>
          <w:rFonts w:ascii="Times" w:hAnsi="Times" w:cs="Times"/>
        </w:rPr>
        <w:footnoteReference w:id="99"/>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remarquera que cette explication des interdits ne dépend pas des symboles variables à l'aide desquels peuvent être conçues les forces religieuses. Peu importe qu'elles soient repré</w:t>
      </w:r>
      <w:r w:rsidRPr="00FB35F7">
        <w:rPr>
          <w:rFonts w:ascii="Times" w:hAnsi="Times" w:cs="Times"/>
        </w:rPr>
        <w:softHyphen/>
      </w:r>
      <w:r w:rsidRPr="00FB35F7">
        <w:rPr>
          <w:rFonts w:ascii="Times New Roman" w:hAnsi="Times New Roman" w:cs="Times"/>
        </w:rPr>
        <w:t>sentées sous la forme d'énergies anonymes et impersonnelles, ou figurées par des person</w:t>
      </w:r>
      <w:r w:rsidRPr="00FB35F7">
        <w:rPr>
          <w:rFonts w:ascii="Times" w:hAnsi="Times" w:cs="Times"/>
        </w:rPr>
        <w:softHyphen/>
      </w:r>
      <w:r w:rsidRPr="00FB35F7">
        <w:rPr>
          <w:rFonts w:ascii="Times New Roman" w:hAnsi="Times New Roman" w:cs="Times"/>
        </w:rPr>
        <w:t>nalit</w:t>
      </w:r>
      <w:r w:rsidRPr="00FB35F7">
        <w:rPr>
          <w:rFonts w:ascii="Times" w:hAnsi="Times" w:cs="Times"/>
        </w:rPr>
        <w:softHyphen/>
      </w:r>
      <w:r w:rsidRPr="00FB35F7">
        <w:rPr>
          <w:rFonts w:ascii="Times New Roman" w:hAnsi="Times New Roman" w:cs="Times"/>
        </w:rPr>
        <w:t>és douées de conscience et de sentiment. Sans doute, dans le premier cas, elles sont censées réagir contre les transgressions profanatrices d'une manière automatique et inconsciente, tandis. que, dans le second, elles passent pour obéir à des mouvements passion</w:t>
      </w:r>
      <w:r w:rsidRPr="00FB35F7">
        <w:rPr>
          <w:rFonts w:ascii="Times" w:hAnsi="Times" w:cs="Times"/>
        </w:rPr>
        <w:softHyphen/>
      </w:r>
      <w:r w:rsidRPr="00FB35F7">
        <w:rPr>
          <w:rFonts w:ascii="Times New Roman" w:hAnsi="Times New Roman" w:cs="Times"/>
        </w:rPr>
        <w:t>nels, détermi</w:t>
      </w:r>
      <w:r w:rsidRPr="00FB35F7">
        <w:rPr>
          <w:rFonts w:ascii="Times" w:hAnsi="Times" w:cs="Times"/>
        </w:rPr>
        <w:softHyphen/>
      </w:r>
      <w:r w:rsidRPr="00FB35F7">
        <w:rPr>
          <w:rFonts w:ascii="Times New Roman" w:hAnsi="Times New Roman" w:cs="Times"/>
        </w:rPr>
        <w:t>nés par l'offense ressentie. Mais au fond, ces deux conceptions, qui d'ailleurs, ont les mêmes effets pratiques, ne font qu'exprimer en deux langues différentes un seul et même mécanisme psychique. Ce qui est à la base de l'une et de l'autre, c'est l'antago</w:t>
      </w:r>
      <w:r w:rsidRPr="00FB35F7">
        <w:rPr>
          <w:rFonts w:ascii="Times" w:hAnsi="Times" w:cs="Times"/>
        </w:rPr>
        <w:softHyphen/>
      </w:r>
      <w:r w:rsidRPr="00FB35F7">
        <w:rPr>
          <w:rFonts w:ascii="Times New Roman" w:hAnsi="Times New Roman" w:cs="Times"/>
        </w:rPr>
        <w:t>nis</w:t>
      </w:r>
      <w:r w:rsidRPr="00FB35F7">
        <w:rPr>
          <w:rFonts w:ascii="Times" w:hAnsi="Times" w:cs="Times"/>
        </w:rPr>
        <w:softHyphen/>
      </w:r>
      <w:r w:rsidRPr="00FB35F7">
        <w:rPr>
          <w:rFonts w:ascii="Times New Roman" w:hAnsi="Times New Roman" w:cs="Times"/>
        </w:rPr>
        <w:t>me du sacré et du profane, combiné avec la remarquable aptitude du premier à contagion</w:t>
      </w:r>
      <w:r w:rsidRPr="00FB35F7">
        <w:rPr>
          <w:rFonts w:ascii="Times" w:hAnsi="Times" w:cs="Times"/>
        </w:rPr>
        <w:softHyphen/>
      </w:r>
      <w:r w:rsidRPr="00FB35F7">
        <w:rPr>
          <w:rFonts w:ascii="Times New Roman" w:hAnsi="Times New Roman" w:cs="Times"/>
        </w:rPr>
        <w:t xml:space="preserve">ner le second ; or, cet antagonisme et cette contagiosité agissent de même façon, que le caractère sacré soit attribué à des forces aveugles ou à des consciences. Ainsi, bien loin que la vie proprement religieuse ne commence que là où il existe des personnalités mythiques, on voit que, dans ce cas, le rite </w:t>
      </w:r>
      <w:r w:rsidRPr="00FB35F7">
        <w:rPr>
          <w:rFonts w:ascii="Times New Roman" w:hAnsi="Times New Roman" w:cs="Times"/>
        </w:rPr>
        <w:lastRenderedPageBreak/>
        <w:t>reste le même, que les êtres religieux soient ou non personnifiés. C'est une constatation que nous aurons à répéter dans chacun des chapitres qui vont suivre.</w:t>
      </w: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8" w:name="livre_3_chap_1_4"/>
      <w:r w:rsidRPr="00FB35F7">
        <w:rPr>
          <w:rFonts w:ascii="Times New Roman" w:hAnsi="Times New Roman"/>
        </w:rPr>
        <w:t>IV</w:t>
      </w:r>
    </w:p>
    <w:bookmarkEnd w:id="8"/>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la contagiosité du sacré contribue à expliquer le système des interdits, comment s'explique-t-elle elle-même ?</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On a cru pouvoir en rendre compte par les lois, bien connues, de l'association des idées. Les sentiments que nous inspire une personne ou une chose s'étendent contagieusement de l'idée de cette chose ou de cette personne aux représentations qui y sont associées et, par suite, aux objets que ces représentations expriment. Le respect que nous avons pour un être sacré se communique donc à tout ce qui touche à cet être, à tout ce qui lui ressemble et le rappelle. Sans doute, l'homme cultivé n'est pas dupe de ces associations ; il sait que ces émotions dérivées sont dues à de simples jeux d'images, à des combinaisons toutes mentales et il ne s'abandonne pas aux superstitions que ces illusions, tendent à déterminer. Mais, dit-on, le primitif objective naïvement ses impressions sans les critiquer. Une chose lui inspire-t-elle une crainte révérentielle ? Il en conclut qu'une force auguste et redoutable y réside réellement ; il se tient doue à distance de cette chose et la traite comme si elle était sacrée, alors même qu'elle n'a aucun droit à ce titre </w:t>
      </w:r>
      <w:r w:rsidRPr="00FB35F7">
        <w:rPr>
          <w:rStyle w:val="Rimandonotaapidipagina"/>
          <w:rFonts w:ascii="Times" w:hAnsi="Times" w:cs="Times"/>
        </w:rPr>
        <w:footnoteReference w:id="10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c'est oublier que les religions les plus primitives ne sont pas les seules qui aient attribué au caractère sacré cette puissance de propagation. Même dans les cultes les plus récents, il existe un ensemble de rites qui reposent sur ce principe. Toute consécration par voie d'onction ou de lustration ne consiste-t-elle pas à transférer dans un objet profane les vertus sanctifiantes d'un objet sacré ? Il est pourtant difficile de voir, dans le catholique éclairé d'aujourd'hui, une sorte de sauvage attardé, qui continue à être trompé par ses associations d'idées, sans que rien, dans la nature des choses, explique et justifie ces manières de penser. C'est, d'ailleurs, très arbitrairement que l'on prête au primitif cette tendance à objec</w:t>
      </w:r>
      <w:r w:rsidRPr="00FB35F7">
        <w:rPr>
          <w:rFonts w:ascii="Times" w:hAnsi="Times" w:cs="Times"/>
        </w:rPr>
        <w:softHyphen/>
      </w:r>
      <w:r w:rsidRPr="00FB35F7">
        <w:rPr>
          <w:rFonts w:ascii="Times New Roman" w:hAnsi="Times New Roman" w:cs="Times"/>
        </w:rPr>
        <w:t>tiver aveuglément toutes ses émotions. Dans sa vie courante, dans le détail de ses occupa</w:t>
      </w:r>
      <w:r w:rsidRPr="00FB35F7">
        <w:rPr>
          <w:rFonts w:ascii="Times" w:hAnsi="Times" w:cs="Times"/>
        </w:rPr>
        <w:softHyphen/>
      </w:r>
      <w:r w:rsidRPr="00FB35F7">
        <w:rPr>
          <w:rFonts w:ascii="Times New Roman" w:hAnsi="Times New Roman" w:cs="Times"/>
        </w:rPr>
        <w:t>tions laïques, il n'impute pas à une chose les propriétés de sa voisine ou récipro</w:t>
      </w:r>
      <w:r w:rsidRPr="00FB35F7">
        <w:rPr>
          <w:rFonts w:ascii="Times" w:hAnsi="Times" w:cs="Times"/>
        </w:rPr>
        <w:softHyphen/>
      </w:r>
      <w:r w:rsidRPr="00FB35F7">
        <w:rPr>
          <w:rFonts w:ascii="Times New Roman" w:hAnsi="Times New Roman" w:cs="Times"/>
        </w:rPr>
        <w:t>quement. S'il est moins amoureux que nous de clarté et de distinction, il s'en faut cependant qu'il y ait en lui je ne sais quelle déplorable aptitude à tout brouiller et à tout confondre. Seule, la pensée religieuse a un penchant marqué pour ces sortes de confusions. C'est donc bien dans la nature spéciale des choses religieuses, et non dans les lois générales de l'intelligence humaine, qu'il faut aller chercher l'origine de ces prédispositions.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Quand une force ou une propriété nous paraît être une partie intégrante, un élément constitutif du sujet en qui elle réside, on ne peut pas se représenter facilement qu'elle s'en détache pour se transporter ailleurs. Un corps se définit par sa masse et sa composition atomique ; aussi ne concevons-nous pas qu'il puisse communiquer, par voie de contact, aucun de ces caractères distinctifs. Mais, au contraire, s'il s'agit d'une force qui a pénétré le corps du dehors, comme rien ne l'y attache, comme elle y est en qualité d'étrangère, il n'y a rien d'irréprésentable à ce qu'elle puisse s'en échapper. C'est ainsi que la chaleur ou l'électricité, qu'un objet quelconque a reçues d'une source externe, sont transmissibles au milieu ambiant, et l'esprit accepte sans résistance la possibilité de cette transmission. L'extrême facilité avec laquelle les forces religieuses rayonnent et se diffusent n'a donc rien qui doive surprendre si elles sont généralement conçues comme extérieures aux êtres en qui elles résident. Or c'est bien ce qu'implique la théorie que nous avons proposée.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Elles ne sont, en effet, que des forces collectives hypostasiées, c'est-à-dire des forces morales; elles sont faites des idées et des sentiments qu'éveille en nous le spectacle de la société, non des sensations qui nous viennent du monde physique. Elles sont donc hétéro</w:t>
      </w:r>
      <w:r w:rsidRPr="00FB35F7">
        <w:rPr>
          <w:rFonts w:ascii="Times" w:hAnsi="Times" w:cs="Times"/>
        </w:rPr>
        <w:softHyphen/>
      </w:r>
      <w:r w:rsidRPr="00FB35F7">
        <w:rPr>
          <w:rFonts w:ascii="Times New Roman" w:hAnsi="Times New Roman" w:cs="Times"/>
        </w:rPr>
        <w:t>gènes aux choses sensibles où nous les situons. Elles peuvent bien emprunter à ces choses les formes extérieures et matérielles sous lesquelles elles sont représentées ; mais elles ne leur doivent rien de ce qui fait leur efficacité. Elles ne tiennent pas par des liens internes aux supports divers sur lesquels elles viennent se poser ; elles n'y ont pas de racines; suivant un mot que nous avons employé déjà </w:t>
      </w:r>
      <w:r w:rsidRPr="00FB35F7">
        <w:rPr>
          <w:rStyle w:val="Rimandonotaapidipagina"/>
          <w:rFonts w:ascii="Times" w:hAnsi="Times" w:cs="Times"/>
        </w:rPr>
        <w:footnoteReference w:id="101"/>
      </w:r>
      <w:r w:rsidRPr="00FB35F7">
        <w:rPr>
          <w:rFonts w:ascii="Times New Roman" w:hAnsi="Times New Roman" w:cs="Times"/>
        </w:rPr>
        <w:t xml:space="preserve"> et qui peut le mieux servir à les caractériser, </w:t>
      </w:r>
      <w:r w:rsidRPr="00FB35F7">
        <w:rPr>
          <w:rFonts w:ascii="Times New Roman" w:hAnsi="Times New Roman" w:cs="Times"/>
          <w:i/>
          <w:iCs/>
        </w:rPr>
        <w:t xml:space="preserve">elles y sont surajoutées. </w:t>
      </w:r>
      <w:r w:rsidRPr="00FB35F7">
        <w:rPr>
          <w:rFonts w:ascii="Times New Roman" w:hAnsi="Times New Roman" w:cs="Times"/>
        </w:rPr>
        <w:t xml:space="preserve">Aussi n'y a-t-il pas d'objets qui soient, à l'exclusion de tous autres, prédestinés à les recevoir ; les plus insignifiants, les plus vulgaires même peuvent remplir ce rôle : ce sont des circonstances adventices qui décident quels sont les élus. Qu'on se rappelle en quels termes Codrington parle du mana : « C'est, dit-il, une force </w:t>
      </w:r>
      <w:r w:rsidRPr="00FB35F7">
        <w:rPr>
          <w:rFonts w:ascii="Times New Roman" w:hAnsi="Times New Roman" w:cs="Times"/>
          <w:i/>
          <w:iCs/>
        </w:rPr>
        <w:t>qui n'est Point fixée sur un objet matériel, mais qui peut être amenée sur Presque toute espèce d'objet</w:t>
      </w:r>
      <w:r w:rsidRPr="00FB35F7">
        <w:rPr>
          <w:rFonts w:ascii="Times New Roman" w:hAnsi="Times New Roman" w:cs="Times"/>
        </w:rPr>
        <w:t> </w:t>
      </w:r>
      <w:r w:rsidRPr="00FB35F7">
        <w:rPr>
          <w:rStyle w:val="Rimandonotaapidipagina"/>
          <w:rFonts w:ascii="Times" w:hAnsi="Times" w:cs="Times"/>
        </w:rPr>
        <w:footnoteReference w:id="102"/>
      </w:r>
      <w:r w:rsidRPr="00FB35F7">
        <w:rPr>
          <w:rFonts w:ascii="Times New Roman" w:hAnsi="Times New Roman" w:cs="Times"/>
          <w:i/>
          <w:iCs/>
        </w:rPr>
        <w:t xml:space="preserve">. </w:t>
      </w:r>
      <w:r w:rsidRPr="00FB35F7">
        <w:rPr>
          <w:rFonts w:ascii="Times New Roman" w:hAnsi="Times New Roman" w:cs="Times"/>
        </w:rPr>
        <w:t>» De même, le Dakota de Miss Fletcher nous représentait le wakan comme une sorte de force ambulante qui va et vient à travers le monde, se posant ici ou là sans se fixer définitivement nulle part </w:t>
      </w:r>
      <w:r w:rsidRPr="00FB35F7">
        <w:rPr>
          <w:rStyle w:val="Rimandonotaapidipagina"/>
          <w:rFonts w:ascii="Times" w:hAnsi="Times" w:cs="Times"/>
        </w:rPr>
        <w:footnoteReference w:id="103"/>
      </w:r>
      <w:r w:rsidRPr="00FB35F7">
        <w:rPr>
          <w:rFonts w:ascii="Times New Roman" w:hAnsi="Times New Roman" w:cs="Times"/>
        </w:rPr>
        <w:t>. Même la religiosité qui est inhérente à l'homme n'a pas un autre caractère. Certes, dans le monde de l'expérience, il n'est pas d'être qui soit plus proche de la source même de toute vie religieuse; nul n'y participe plus directement puisque c'est dans des consciences humaines qu'elle s'élabore. Et cependant, nous savons que le principe religieux qui anime l'homme, à savoir l'âme, lui est partiellement extérieur.</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les forces religieuses n'ont nulle part de lieu propre, leur mobilité devient aisé</w:t>
      </w:r>
      <w:r w:rsidRPr="00FB35F7">
        <w:rPr>
          <w:rFonts w:ascii="Times" w:hAnsi="Times" w:cs="Times"/>
        </w:rPr>
        <w:softHyphen/>
      </w:r>
      <w:r w:rsidRPr="00FB35F7">
        <w:rPr>
          <w:rFonts w:ascii="Times New Roman" w:hAnsi="Times New Roman" w:cs="Times"/>
        </w:rPr>
        <w:t>ment explicable. Puisque rien ne les attache aux choses où nous les localisons, il est naturel que, au moindre contact, elles s'en échappent, en dépit d'elles-mêmes pour ainsi dire, et qu'elles se propagent plus loin. Leur intensité les incite à cette propagation que tout favorise. C'est pourquoi l'âme elle-même, bien qu'elle tienne au corps par des liens tout personnels, menace sans cesse d'en sortir : tous les orifices, tous les pores de l'organisme sont autant de voies par où elle tend à se répandre et à se diffuser au dehors </w:t>
      </w:r>
      <w:r w:rsidRPr="00FB35F7">
        <w:rPr>
          <w:rStyle w:val="Rimandonotaapidipagina"/>
          <w:rFonts w:ascii="Times" w:hAnsi="Times" w:cs="Times"/>
        </w:rPr>
        <w:footnoteReference w:id="104"/>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nous nous rendrons mieux compte encore du phénomène que nous cherchons à comprendre si, au lieu de considérer la notion de forces religieuses toute constituée, nous remontons jusqu'au processus mental dont elle résulte.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avons vu, en effet, que le caractère sacré d'un être ne tenait pas à quelqu'un de ses attributs intrinsèques. Ce n'est pas parce que l'animal totémique a tel aspect ou telle propriété qu'il inspire des sentiments religieux ; ceux-ci résultent de causes tout à fait étrangères à la nature de l'objet sur lequel ils viennent se fixer. Ce qui les constitue, ce sont les impressions de réconfort et de dépendance, que l'action de la société provoque dans les consciences. Par elles-mêmes, ces émotions ne sont liées à l'idée d'aucun objet déterminé ; mais, parce que ce sont des émotions et qu'elles sont particulièrement intenses, elles sont aussi éminemment contagieuses. Elles font donc tache d'huile; elles s'éten</w:t>
      </w:r>
      <w:r w:rsidRPr="00FB35F7">
        <w:rPr>
          <w:rFonts w:ascii="Times" w:hAnsi="Times" w:cs="Times"/>
        </w:rPr>
        <w:softHyphen/>
      </w:r>
      <w:r w:rsidRPr="00FB35F7">
        <w:rPr>
          <w:rFonts w:ascii="Times New Roman" w:hAnsi="Times New Roman" w:cs="Times"/>
        </w:rPr>
        <w:t>dent à tous les autres états mentaux qui occupent alors l'esprit ; elles pénètrent et conta</w:t>
      </w:r>
      <w:r w:rsidRPr="00FB35F7">
        <w:rPr>
          <w:rFonts w:ascii="Times" w:hAnsi="Times" w:cs="Times"/>
        </w:rPr>
        <w:softHyphen/>
      </w:r>
      <w:r w:rsidRPr="00FB35F7">
        <w:rPr>
          <w:rFonts w:ascii="Times New Roman" w:hAnsi="Times New Roman" w:cs="Times"/>
        </w:rPr>
        <w:t xml:space="preserve">minent notamment les représentations où viennent s'exprimer les divers objets que l'homme, au même moment, a dans les mains ou sous les yeux : dessins totémiques qui recouvrent son corps, </w:t>
      </w:r>
      <w:r w:rsidRPr="00FB35F7">
        <w:rPr>
          <w:rFonts w:ascii="Times New Roman" w:hAnsi="Times New Roman" w:cs="Times"/>
          <w:i/>
          <w:iCs/>
        </w:rPr>
        <w:t xml:space="preserve">bull-roarers </w:t>
      </w:r>
      <w:r w:rsidRPr="00FB35F7">
        <w:rPr>
          <w:rFonts w:ascii="Times New Roman" w:hAnsi="Times New Roman" w:cs="Times"/>
        </w:rPr>
        <w:t>qu'il fait retentir, rochers qui l'entourent, sol qu'il foule sous ses pas, etc. C'est ainsi que ces objets eux-mêmes prennent une valeur religieuse qui, en réalité, ne leur est pas inhérente, mais leur est conférée du dehors. La contagion n'est donc pas une sorte de procédé secondaire par lequel le caractère sacré, une fois acquis, se propage ; c'est le procédé même par lequel il s'acquiert. C'est par contagion qu'il se fixe ; on ne peut s'étonner qu'il se transmette contagieusement. Ce qui en fait la réalité c'est une émotion spéciale ; s'il s'attache à un objet, c'est que cette émo</w:t>
      </w:r>
      <w:r w:rsidRPr="00FB35F7">
        <w:rPr>
          <w:rFonts w:ascii="Times" w:hAnsi="Times" w:cs="Times"/>
        </w:rPr>
        <w:softHyphen/>
      </w:r>
      <w:r w:rsidRPr="00FB35F7">
        <w:rPr>
          <w:rFonts w:ascii="Times New Roman" w:hAnsi="Times New Roman" w:cs="Times"/>
        </w:rPr>
        <w:t>tion a rencontré cet objet sur sa route. Il est donc naturel que, de celui-ci, elle s'étende à tous ceux qu'elle trouve également à proximité, c'est-à-dire à tous ceux qu'une raison quelconque, contiguïté matérielle ou pure similitude, a rapprochés du premier dans l'esprit.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Ainsi la contagiosité du caractère sacré trouve son explication dans la théorie que nous avons proposée des forces religieuses, et, par cela même, sert à la confirmer </w:t>
      </w:r>
      <w:r w:rsidRPr="00FB35F7">
        <w:rPr>
          <w:rStyle w:val="Rimandonotaapidipagina"/>
          <w:rFonts w:ascii="Times" w:hAnsi="Times" w:cs="Times"/>
        </w:rPr>
        <w:footnoteReference w:id="105"/>
      </w:r>
      <w:r w:rsidRPr="00FB35F7">
        <w:rPr>
          <w:rFonts w:ascii="Times New Roman" w:hAnsi="Times New Roman" w:cs="Times"/>
        </w:rPr>
        <w:t>. En même temps, elle nous aide à comprendre un trait de la mentalité primitive sur lequel nous avons précédemment appelé l'attention.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avons vu </w:t>
      </w:r>
      <w:r w:rsidRPr="00FB35F7">
        <w:rPr>
          <w:rStyle w:val="Rimandonotaapidipagina"/>
          <w:rFonts w:ascii="Times" w:hAnsi="Times" w:cs="Times"/>
        </w:rPr>
        <w:footnoteReference w:id="106"/>
      </w:r>
      <w:r w:rsidRPr="00FB35F7">
        <w:rPr>
          <w:rFonts w:ascii="Times New Roman" w:hAnsi="Times New Roman" w:cs="Times"/>
        </w:rPr>
        <w:t xml:space="preserve"> avec quelle facilité le primitif confond les règnes et identifie les choses les plus hétérogènes, hommes, animaux, plantes, astres, etc. Nous apercevons maintenant une des causes qui ont le plus contribué à faciliter ces confusions. Parce que les forces religieuses sont éminemment contagieuses, il arrive sans cesse qu'un même principe se trouve animer également les choses les plus différentes : il passe des unes dans les autres par suite soit d'un simple rapprochement matériel soit de similitudes mêmes superficielles. C'est ainsi que des hommes, des animaux, des plantes, des roches sont censés participer du même totem : les hommes, parce qu'ils portent le nom de l'animal ; les animaux, parce qu'ils rappellent l'emblè</w:t>
      </w:r>
      <w:r w:rsidRPr="00FB35F7">
        <w:rPr>
          <w:rFonts w:ascii="Times" w:hAnsi="Times" w:cs="Times"/>
        </w:rPr>
        <w:softHyphen/>
      </w:r>
      <w:r w:rsidRPr="00FB35F7">
        <w:rPr>
          <w:rFonts w:ascii="Times New Roman" w:hAnsi="Times New Roman" w:cs="Times"/>
        </w:rPr>
        <w:t>me totémique ; les plantes, parce qu'elles servent à nourrir ces animaux; les rochers, parce qu'ils garnissent le lieu où se célèbrent les cérémonies. Or, les forces religieuses sont alors considérées comme la source de toute efficacité; des êtres qui avaient un même principe religieux devaient donc passer pour avoir la même essence et pour ne différer les uns des autres que par des caractères secondaires. C'est pourquoi il parut tout naturel de les ranger dans une même catégorie et de ne voir en eux que des variétés d'un même genre, transmutables les unes dans les autres.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 rapport établi fait apparaître sous un nouvel aspect les phénomènes de contagion. Pris en eux-mêmes, ils semblent être étrangers à la vie logique. N'ont-ils pas pour effet de mêler et de confondre les êtres, en dépit de leurs différences naturelles ? Mais nous avons vu que ces confusions et ces participations ont joué un rôle logique et d'une haute utilité : elles ont servi à relier les choses que la sensation laisse en dehors les unes des autres. Il s'en faut donc que la contagion, source de ces rapprochements et de ces mélanges, soit marquée de cette espèce d'irrationalité fondamentale qu'on est tout d'abord porté à lui attribuer. Elle a ouvert la voie aux explications scientifiques de l'avenir.</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Titreniveau1"/>
        <w:rPr>
          <w:rFonts w:ascii="Times New Roman" w:hAnsi="Times New Roman"/>
        </w:rPr>
      </w:pPr>
      <w:bookmarkStart w:id="9" w:name="livre_3_chap_2"/>
      <w:r w:rsidRPr="00FB35F7">
        <w:rPr>
          <w:rFonts w:ascii="Times New Roman" w:hAnsi="Times New Roman"/>
        </w:rPr>
        <w:t>CHAPITRE II</w:t>
      </w:r>
    </w:p>
    <w:p w:rsidR="003F2F8E" w:rsidRPr="00FB35F7" w:rsidRDefault="003F2F8E">
      <w:pPr>
        <w:jc w:val="both"/>
        <w:rPr>
          <w:rFonts w:ascii="Times New Roman" w:hAnsi="Times New Roman" w:cs="Times"/>
        </w:rPr>
      </w:pPr>
    </w:p>
    <w:p w:rsidR="003F2F8E" w:rsidRPr="00FB35F7" w:rsidRDefault="003F2F8E">
      <w:pPr>
        <w:pStyle w:val="Titreniveau2"/>
        <w:rPr>
          <w:rFonts w:ascii="Times New Roman" w:hAnsi="Times New Roman"/>
        </w:rPr>
      </w:pPr>
      <w:r w:rsidRPr="00FB35F7">
        <w:rPr>
          <w:rFonts w:ascii="Times New Roman" w:hAnsi="Times New Roman"/>
        </w:rPr>
        <w:t>LE CULTE POSITIF</w:t>
      </w:r>
    </w:p>
    <w:bookmarkEnd w:id="9"/>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Niveau10"/>
        <w:rPr>
          <w:rFonts w:ascii="Times New Roman" w:hAnsi="Times New Roman"/>
        </w:rPr>
      </w:pPr>
      <w:bookmarkStart w:id="10" w:name="livre_3_chap_2_elements_sacrifice"/>
      <w:r w:rsidRPr="00FB35F7">
        <w:rPr>
          <w:rFonts w:ascii="Times New Roman" w:hAnsi="Times New Roman"/>
        </w:rPr>
        <w:t>I. - Les éléments du sacrifice</w:t>
      </w:r>
    </w:p>
    <w:bookmarkEnd w:id="10"/>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Quelle que puisse être l'importance du culte négatif et bien qu'il ait indirectement des effets positifs, il n'a pas sa raison d'être en lui-même ; il introduit à la vie religieuse, mais il la suppose plus qu'il ne la constitue. S'il prescrit au fidèle de fuir le monde profane, c'est pour le rapprocher du monde sacré. Jamais l'homme n'a conçu que ses devoirs envers les forces religieuses pouvaient se réduire à une simple abstention de tout commerce, il a toujours considéré qu'il soutenait avec elles des rapports positifs et bilatéraux qu'un ensemble de pratiques rituelles a pour fonction de régler et d'organiser. A ce système spécial de rites, nous donnons le nom de culte positif.</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Pendant longtemps, nous avons ignoré à peu près totalement en quoi pouvait consister le culte positif de la religion totémique. Nous ne connaissions guère que les rites d'initiation, et encore les connaissions-nous insuffisamment. Mais les observations de Spencer et Gillen, préparées par celles de Schulze, confirmées par celles de Strehlow, sur les tribus du centre australien, ont, en partie, comblé cette lacune de nos informations. Il y a surtout une fête que ces explorateurs se sont particulièrement attachés à nous dépeindre et qui, d'ailleurs, paraît bien dominer tout le culte totémique : c'est celle que les Arunta, d'après Spencer et Gillen, appelleraient </w:t>
      </w:r>
      <w:r w:rsidRPr="00FB35F7">
        <w:rPr>
          <w:rFonts w:ascii="Times New Roman" w:hAnsi="Times New Roman" w:cs="Times"/>
          <w:i/>
          <w:iCs/>
        </w:rPr>
        <w:t xml:space="preserve">l'Intichiuma. </w:t>
      </w:r>
      <w:r w:rsidRPr="00FB35F7">
        <w:rPr>
          <w:rFonts w:ascii="Times New Roman" w:hAnsi="Times New Roman" w:cs="Times"/>
        </w:rPr>
        <w:t>Strehlow conteste, il est vrai, que tel soit le sens de ce mot. Sui</w:t>
      </w:r>
      <w:r w:rsidRPr="00FB35F7">
        <w:rPr>
          <w:rFonts w:ascii="Times" w:hAnsi="Times" w:cs="Times"/>
        </w:rPr>
        <w:softHyphen/>
      </w:r>
      <w:r w:rsidRPr="00FB35F7">
        <w:rPr>
          <w:rFonts w:ascii="Times New Roman" w:hAnsi="Times New Roman" w:cs="Times"/>
        </w:rPr>
        <w:t xml:space="preserve">vant lui, intichiuma (ou, comme il écrit, </w:t>
      </w:r>
      <w:r w:rsidRPr="00FB35F7">
        <w:rPr>
          <w:rFonts w:ascii="Times New Roman" w:hAnsi="Times New Roman" w:cs="Times"/>
          <w:i/>
          <w:iCs/>
        </w:rPr>
        <w:t xml:space="preserve">intijiuma) </w:t>
      </w:r>
      <w:r w:rsidRPr="00FB35F7">
        <w:rPr>
          <w:rFonts w:ascii="Times New Roman" w:hAnsi="Times New Roman" w:cs="Times"/>
        </w:rPr>
        <w:t>voudrait dire instruire et désignerait les céré</w:t>
      </w:r>
      <w:r w:rsidRPr="00FB35F7">
        <w:rPr>
          <w:rFonts w:ascii="Times" w:hAnsi="Times" w:cs="Times"/>
        </w:rPr>
        <w:softHyphen/>
      </w:r>
      <w:r w:rsidRPr="00FB35F7">
        <w:rPr>
          <w:rFonts w:ascii="Times New Roman" w:hAnsi="Times New Roman" w:cs="Times"/>
        </w:rPr>
        <w:t>mo</w:t>
      </w:r>
      <w:r w:rsidRPr="00FB35F7">
        <w:rPr>
          <w:rFonts w:ascii="Times" w:hAnsi="Times" w:cs="Times"/>
        </w:rPr>
        <w:softHyphen/>
      </w:r>
      <w:r w:rsidRPr="00FB35F7">
        <w:rPr>
          <w:rFonts w:ascii="Times New Roman" w:hAnsi="Times New Roman" w:cs="Times"/>
        </w:rPr>
        <w:t xml:space="preserve">nies que l'on représente devant le jeune homme pour l'initier aux traditions de la tribu. La fête que nous allons décrire porterait le nom de </w:t>
      </w:r>
      <w:r w:rsidRPr="00FB35F7">
        <w:rPr>
          <w:rFonts w:ascii="Times New Roman" w:hAnsi="Times New Roman" w:cs="Times"/>
          <w:i/>
          <w:iCs/>
        </w:rPr>
        <w:t xml:space="preserve">mbatjalkatiuma </w:t>
      </w:r>
      <w:r w:rsidRPr="00FB35F7">
        <w:rPr>
          <w:rFonts w:ascii="Times New Roman" w:hAnsi="Times New Roman" w:cs="Times"/>
        </w:rPr>
        <w:t>qui signifie féconder, mettre en bon état </w:t>
      </w:r>
      <w:r w:rsidRPr="00FB35F7">
        <w:rPr>
          <w:rStyle w:val="Rimandonotaapidipagina"/>
          <w:rFonts w:ascii="Times" w:hAnsi="Times" w:cs="Times"/>
        </w:rPr>
        <w:footnoteReference w:id="107"/>
      </w:r>
      <w:r w:rsidRPr="00FB35F7">
        <w:rPr>
          <w:rFonts w:ascii="Times New Roman" w:hAnsi="Times New Roman" w:cs="Times"/>
        </w:rPr>
        <w:t>. Mais nous ne chercherons pas à trancher cette question de vocabulaire qui touche d'autant moins au fond des choses que les rites dont il va être question sont également célébrés au cours de l'initi</w:t>
      </w:r>
      <w:r w:rsidRPr="00FB35F7">
        <w:rPr>
          <w:rFonts w:ascii="Times" w:hAnsi="Times" w:cs="Times"/>
        </w:rPr>
        <w:softHyphen/>
      </w:r>
      <w:r w:rsidRPr="00FB35F7">
        <w:rPr>
          <w:rFonts w:ascii="Times New Roman" w:hAnsi="Times New Roman" w:cs="Times"/>
        </w:rPr>
        <w:t>ation. D'autre part, comme le mot d'Intichiuma appartient aujourd'hui à la langue courante de l'ethnographie, comme il est devenu presque un nom commun, il nous paraît inutile de le remplacer par un autre </w:t>
      </w:r>
      <w:r w:rsidRPr="00FB35F7">
        <w:rPr>
          <w:rStyle w:val="Rimandonotaapidipagina"/>
          <w:rFonts w:ascii="Times" w:hAnsi="Times" w:cs="Times"/>
        </w:rPr>
        <w:footnoteReference w:id="108"/>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date à laquelle a lieu l'Intichiuma dépend, en grande partie, de la saison. Il existe, en Australie centrale, deux saisons nettement tranchées : l'une, sèche, qui dure longtemps ; l'autre, pluvieuse, qui est, au contraire, très courte et souvent irrégulière. Dès que les pluies sont arrivées, les plantes sortent de terre comme par enchantement, les animaux se multi</w:t>
      </w:r>
      <w:r w:rsidRPr="00FB35F7">
        <w:rPr>
          <w:rFonts w:ascii="Times" w:hAnsi="Times" w:cs="Times"/>
        </w:rPr>
        <w:softHyphen/>
      </w:r>
      <w:r w:rsidRPr="00FB35F7">
        <w:rPr>
          <w:rFonts w:ascii="Times New Roman" w:hAnsi="Times New Roman" w:cs="Times"/>
        </w:rPr>
        <w:t>plient, et des pays qui, la veille, n'étaient que déserts stériles se recouvrent rapidement d'une faune et d'une flore luxuriantes. C'est juste au moment où la bonne saison paraît prochaine que se célèbre l'Intichiuma. Seulement, parce que la période des pluies est très variable, la date des cérémonies ne peut être fixée une fois pour toutes. Elle varie elle-même suivant les circonstances climatériques, que le chef du groupe totémique, l'Alatunja, a, seul, qualité pour apprécier : au jour qu'il juge convenable, il fait savoir à ses compagnons que le moment est arrivé </w:t>
      </w:r>
      <w:r w:rsidRPr="00FB35F7">
        <w:rPr>
          <w:rStyle w:val="Rimandonotaapidipagina"/>
          <w:rFonts w:ascii="Times" w:hAnsi="Times" w:cs="Times"/>
        </w:rPr>
        <w:footnoteReference w:id="109"/>
      </w:r>
      <w:r w:rsidRPr="00FB35F7">
        <w:rPr>
          <w:rFonts w:ascii="Times New Roman" w:hAnsi="Times New Roman" w:cs="Times"/>
        </w:rPr>
        <w:t>.</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Chaque groupe totémique a, en effet, son Intichiuma. Mais si le rite est général dans les sociétés du centre, il n'est pas partout le même ; il n'est pas chez les Warramunga ce qu'il est chez les Arunta ; il varie, non seulement suivant les tribus, mais, dans une même tribu, suivant les clans. A vrai dire, les différents mécanismes qui sont ainsi en usage sont trop parents les uns des autres pour pouvoir se dissocier complètement. Il n'existe peut-être pas de cérémonies où il ne s'en rencontre plusieurs, mais très inégalement développés : ce qui, dans un cas, n'existe qu'à l'état de germe, occupe ailleurs toute la place et inversement. Il importe cependant de les distinguer avec soin ; car ils constituent autant de types rituels différents qu'il faut décrire et expliquer séparément, sauf à rechercher ensuite s'il y a quelque souche commune dont ils sont dérivés.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commencerons par ceux que l'on observe plus spécialement chez les Arunta.</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11" w:name="livre_3_chap_2_1"/>
      <w:r w:rsidRPr="00FB35F7">
        <w:rPr>
          <w:rFonts w:ascii="Times New Roman" w:hAnsi="Times New Roman"/>
        </w:rPr>
        <w:t>I</w:t>
      </w:r>
    </w:p>
    <w:bookmarkEnd w:id="11"/>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fête comprend deux phases successives. Les rites qui se succèdent dans la première ont pour objet d'assurer la prospérité de l'espèce animale ou végétale qui sert de totem au clan. Les moyens qui sont employés dans ce but peuvent être ramenés à quelques types principaux.</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se rappelle que les ancêtres fabuleux dont chaque clan est censé descendu ont autre</w:t>
      </w:r>
      <w:r w:rsidRPr="00FB35F7">
        <w:rPr>
          <w:rFonts w:ascii="Times" w:hAnsi="Times New Roman" w:cs="Times"/>
        </w:rPr>
        <w:softHyphen/>
      </w:r>
      <w:r w:rsidRPr="00FB35F7">
        <w:rPr>
          <w:rFonts w:ascii="Times New Roman" w:hAnsi="Times New Roman" w:cs="Times"/>
        </w:rPr>
        <w:t>fois vécu sur la terre et y ont laissé des traces de leur passage. Ces traces consistent notamment en pierres ou en rochers qu'ils auraient déposés en certains endroits ou qui se seraient formés aux points où ils se sont abîmés dans le sol. Ces rochers et ces pierres sont considérés comme les corps ou comme des parties du corps des ancêtres dont ils rappellent le souvenir ; ils les représentent. Par suite, ils représentent également les animaux et les plantes qui servaient de totems à ces mêmes ancêtres, puisqu'un individu et son totem ne font qu'un. On leur prête donc la même réalité, les mêmes propriétés qu'aux animaux ou aux plantes de même sorte qui vivent actuellement. Mais ils ont sur ces derniers cet avantage d'être impérissables, de ne pas connaître la maladie et la mort. Ils constituent donc comme une réserve permanente, immuable et toujours disponible de vie animale et végétale. Aussi, est-ce à cette réserve que, dans un certain nombre de cas, on va annuellement puiser pour assurer la reproduction de l'espèce.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Voici, par exemple, comment, à Alice Springs, le clan de la Chenille witchetty procède à son Intichiuma </w:t>
      </w:r>
      <w:r w:rsidRPr="00FB35F7">
        <w:rPr>
          <w:rStyle w:val="Rimandonotaapidipagina"/>
          <w:rFonts w:ascii="Times" w:hAnsi="Times New Roman" w:cs="Times"/>
        </w:rPr>
        <w:footnoteReference w:id="11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Au jour fixé par le chef, tous les membres du groupe totémique s'assemblent au camp principal. Les hommes des autres totems se retirent à quelque distance </w:t>
      </w:r>
      <w:r w:rsidRPr="00FB35F7">
        <w:rPr>
          <w:rStyle w:val="Rimandonotaapidipagina"/>
          <w:rFonts w:ascii="Times" w:hAnsi="Times New Roman" w:cs="Times"/>
        </w:rPr>
        <w:footnoteReference w:id="111"/>
      </w:r>
      <w:r w:rsidRPr="00FB35F7">
        <w:rPr>
          <w:rFonts w:ascii="Times New Roman" w:hAnsi="Times New Roman" w:cs="Times"/>
        </w:rPr>
        <w:t xml:space="preserve"> ; car chez les Arunta, il leur est interdit d'être présents à la célébration du rite qui a tous les caractères d'une cérémonie secrète. Un individu d'un totem différent, mais de la même phratrie, peut bien être invité, par mesure gracieuse, à y assister ; mais c'est seulement en qualité de témoin. En aucun cas, il n'y peut ajouter un rôle actif.</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Une fois que les gens du totem sont assemblés, ils se mettent en route, ne laissant au camp que deux ou trois d'entre eux. Tout nus, sans armes, sans aucun de leurs ornements habituels, ils s'avancent les uns derrière les autres, dans un profond silence. Leur attitude, leur démarche sont empreintes d'une gravité religieuse : c'est que l'acte auquel ils prennent part a, à leurs yeux, une exceptionnelle importance. Aussi, jusqu'à la fin de la cérémonie, sont-ils tenus d'observer un jeûne rigoureux.</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pays qu'ils traversent est tout rempli de souvenirs laissés pas les glorieux ancêtres. Ils arrivent ainsi à un endroit où un gros bloc de quartzite est enfoncé dans le sol, avec tout autour, des petites pierres arrondies. Le bloc représente la chenille witchetty à l'état adulte. L'Alatunja, le frappe avec une sorte de petite auge en bois appelée apmara </w:t>
      </w:r>
      <w:r w:rsidRPr="00FB35F7">
        <w:rPr>
          <w:rStyle w:val="Rimandonotaapidipagina"/>
          <w:rFonts w:ascii="Times" w:hAnsi="Times New Roman" w:cs="Times"/>
        </w:rPr>
        <w:footnoteReference w:id="112"/>
      </w:r>
      <w:r w:rsidRPr="00FB35F7">
        <w:rPr>
          <w:rFonts w:ascii="Times New Roman" w:hAnsi="Times New Roman" w:cs="Times"/>
        </w:rPr>
        <w:t>, en même temps qu'il psalmodie un chant dont l'objet est d'inviter l'animal à pondre. Il procède de même avec les pierres, qui figurent les oeufs de l'animal, et, avec l'une d'elles, il frotte l'estomac de chaque assistant. Cela fait, ils descendent tous un peu plus bas, au pied d'un rocher, également célébré dans les mythes de l'Alcheringa, à la base duquel se trouve une autre pierre qui, elle aussi, représente la chenille witchetty. L'Alatunja la frappe avec son apmara ; les gens qui l'accompagnent en font autant avec des branches de gommier qu'ils ont cueillies en route, le tout au milieu de chants qui renouvellent l'invitation précédemment adressée à l'animal. Près de dix endroits différents sont successivement visités, dont quelques-uns sont parfois situés à un mille les uns des autres. Dans chacun d'eux, au fond d'une sorte de cave ou de trou, se trouve quelque pierre qui est censée figurer la chenille witchetty sous l'un de ses aspects ou à l'une des phases de son existence, et sur chacune de ces pierres les mêmes cérémonies sont répétées.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sens du rite est apparent. Si l'Alatunja frappe les pierres sacrées, c'est pour en détacher de la poussière. Les grains de cette poussière très sainte sont considérés comme autant de germes de vie ; chacun d'eux contient un principe spirituel qui, en s'introduisant dans un organisme de la même espèce, y donnera naissance à un être nouveau. Les branches d'arbre dont se sont munis les assistants servent à disperser dans toutes les directions cette précieuse poussière ; elle s'en va, de tous les côtés, faire son oeuvre fécondante. Par ce moyen, on croit avoir assuré la reproduction abondante de l'espèce animale dont le clan a la garde, pour ainsi dire, et dont il dépend. Les indigènes eux-mêmes donnent du rite, cette interprétation. Ainsi, dans le clan de l'ilpirla (sorte de manne) on procède de la manière suivante. Quand le jour de l'Intichiuma est arrivé, le groupe se réunit à un endroit où se dresse une grande pierre, d'envi</w:t>
      </w:r>
      <w:r w:rsidRPr="00FB35F7">
        <w:rPr>
          <w:rFonts w:ascii="Times" w:hAnsi="Times New Roman" w:cs="Times"/>
        </w:rPr>
        <w:softHyphen/>
      </w:r>
      <w:r w:rsidRPr="00FB35F7">
        <w:rPr>
          <w:rFonts w:ascii="Times New Roman" w:hAnsi="Times New Roman" w:cs="Times"/>
        </w:rPr>
        <w:t>ron cinq pieds de haut ; au-dessus de cette pierre, s'en élève une seconde, qui est très semblable d'aspect à la première et que d'autres, plus petites, entourent. Les unes et les autres représentent des masses de manne. L'Alatunja creuse le sol au pied de ces rocs et met au jour un churinga qui passe pour y avoir été enterré aux temps de l'Alcheringa et qui, lui aussi, constitue comme de la quintessence de manne. Il grimpe ensuite au sommet du rocher le plus élevé et le frotte d'abord avec ce churinga, puis avec les pierres les plus petites qui sont tout autour. Enfin, avec des branches d'arbre, il balaye la poussière qui s'est ainsi amassée à la surface du rocher : chacun des assistants en fait autant à tour de rôle. Or, disent Spencer et Gillen, la pensée des indigènes « est que la poussière ainsi dispersée va se poser sur les arbres mulga et y produit de la manne ». Et en effet, ces opérations sont accompagnées d'un chant que chante l'assistance et où cette idée est exprimée </w:t>
      </w:r>
      <w:r w:rsidRPr="00FB35F7">
        <w:rPr>
          <w:rStyle w:val="Rimandonotaapidipagina"/>
          <w:rFonts w:ascii="Times" w:hAnsi="Times New Roman" w:cs="Times"/>
        </w:rPr>
        <w:footnoteReference w:id="11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Avec des variantes, on trouve le même rite dans d'autres sociétés. Chez les Urabunna, il y a un rocher qui représente un ancêtre du clan du Lézard; on en détache des pierres qu'on lance dans tous les sens afin d'obtenir une abondante production de lézards </w:t>
      </w:r>
      <w:r w:rsidRPr="00FB35F7">
        <w:rPr>
          <w:rStyle w:val="Rimandonotaapidipagina"/>
          <w:rFonts w:ascii="Times" w:hAnsi="Times New Roman" w:cs="Times"/>
        </w:rPr>
        <w:footnoteReference w:id="114"/>
      </w:r>
      <w:r w:rsidRPr="00FB35F7">
        <w:rPr>
          <w:rFonts w:ascii="Times New Roman" w:hAnsi="Times New Roman" w:cs="Times"/>
        </w:rPr>
        <w:t>. Dans cette même tribu, il existe un banc de sable auquel des souvenirs mythologiques associent étroitement le totem du pou. Au même endroit se trouvent deux arbres dont l'un est appelé l'arbre à pou ordinaire, l'autre, l'arbre à pou-crabe. On prend de ce sable, on le frotte contre ces arbres, on le jette de tous les côtés et l'on est convaincu que, par ce moyen, les poux naîtront nombreux </w:t>
      </w:r>
      <w:r w:rsidRPr="00FB35F7">
        <w:rPr>
          <w:rStyle w:val="Rimandonotaapidipagina"/>
          <w:rFonts w:ascii="Times" w:hAnsi="Times New Roman" w:cs="Times"/>
        </w:rPr>
        <w:footnoteReference w:id="115"/>
      </w:r>
      <w:r w:rsidRPr="00FB35F7">
        <w:rPr>
          <w:rFonts w:ascii="Times New Roman" w:hAnsi="Times New Roman" w:cs="Times"/>
        </w:rPr>
        <w:t>. Chez les Mara, c'est en dispersant de la poussière détachée de pierres sacrées, qu'on procède à l'Intichiuma des abeilles </w:t>
      </w:r>
      <w:r w:rsidRPr="00FB35F7">
        <w:rPr>
          <w:rStyle w:val="Rimandonotaapidipagina"/>
          <w:rFonts w:ascii="Times" w:hAnsi="Times New Roman" w:cs="Times"/>
        </w:rPr>
        <w:footnoteReference w:id="116"/>
      </w:r>
      <w:r w:rsidRPr="00FB35F7">
        <w:rPr>
          <w:rFonts w:ascii="Times New Roman" w:hAnsi="Times New Roman" w:cs="Times"/>
        </w:rPr>
        <w:t>. Pour le kangourou des plaines on emploie une méthode légère</w:t>
      </w:r>
      <w:r w:rsidRPr="00FB35F7">
        <w:rPr>
          <w:rFonts w:ascii="Times" w:hAnsi="Times New Roman" w:cs="Times"/>
        </w:rPr>
        <w:softHyphen/>
      </w:r>
      <w:r w:rsidRPr="00FB35F7">
        <w:rPr>
          <w:rFonts w:ascii="Times New Roman" w:hAnsi="Times New Roman" w:cs="Times"/>
        </w:rPr>
        <w:t>ment différente. On prend de la bouse de kangourou ; on l'enveloppe dans une certaine herbe dont cet animal est très friand et qui, pour cette raison, ressortit au totem du Kangourou. On dépose la bouse, ainsi enveloppée, sur le sol entre deux couches de cette même herbe et on met le feu au tout. Avec la flamme qui se dégage, on allume des branches d'arbres que l'on agite ensuite de manière à ce que les étincelles s'en aillent dans toutes les directions. Ces étincelles jouent le même rôle que la poussière dans les cas précédents </w:t>
      </w:r>
      <w:r w:rsidRPr="00FB35F7">
        <w:rPr>
          <w:rStyle w:val="Rimandonotaapidipagina"/>
          <w:rFonts w:ascii="Times" w:hAnsi="Times New Roman" w:cs="Times"/>
        </w:rPr>
        <w:footnoteReference w:id="117"/>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Dans un certain nombre de clans </w:t>
      </w:r>
      <w:r w:rsidRPr="00FB35F7">
        <w:rPr>
          <w:rStyle w:val="Rimandonotaapidipagina"/>
          <w:rFonts w:ascii="Times" w:hAnsi="Times New Roman" w:cs="Times"/>
        </w:rPr>
        <w:footnoteReference w:id="118"/>
      </w:r>
      <w:r w:rsidRPr="00FB35F7">
        <w:rPr>
          <w:rFonts w:ascii="Times New Roman" w:hAnsi="Times New Roman" w:cs="Times"/>
        </w:rPr>
        <w:t xml:space="preserve">, pour rendre le rite plus efficace, les hommes mêlent à la substance de la pierre quelque chose de leur propre substance. Des jeunes gens s'ouvrent les veines et laissent leur sang s'écouler à flots sur le rocher. C'est ce qui arrive notamment dans l'Intichiuma de la fleur Hakea, chez les Arunta. La cérémonie a lieu dans un endroit sacré, autour d'une pierre également sacrée, qui représente, aux yeux des indigènes, des fleurs Hakea. Après quelques opérations préliminaires, « le vieillard qui dirige l'exécution du rite, invite un jeune homme à s'ouvrir les veines. Celui-ci obéit et laisse son sang se répandre librement sur la pierre, tandis que les assistants continuent à chanter. Le sang coule jusqu'à ce que la pierre en soit complètement couverte </w:t>
      </w:r>
      <w:r w:rsidRPr="00FB35F7">
        <w:rPr>
          <w:rFonts w:ascii="Times New Roman" w:hAnsi="Times New Roman" w:cs="Times"/>
          <w:i/>
          <w:iCs/>
        </w:rPr>
        <w:t>»</w:t>
      </w:r>
      <w:r w:rsidRPr="00FB35F7">
        <w:rPr>
          <w:rFonts w:ascii="Times New Roman" w:hAnsi="Times New Roman" w:cs="Times"/>
        </w:rPr>
        <w:t> </w:t>
      </w:r>
      <w:r w:rsidRPr="00FB35F7">
        <w:rPr>
          <w:rStyle w:val="Rimandonotaapidipagina"/>
          <w:rFonts w:ascii="Times" w:hAnsi="Times New Roman" w:cs="Times"/>
        </w:rPr>
        <w:footnoteReference w:id="119"/>
      </w:r>
      <w:r w:rsidRPr="00FB35F7">
        <w:rPr>
          <w:rFonts w:ascii="Times New Roman" w:hAnsi="Times New Roman" w:cs="Times"/>
          <w:i/>
          <w:iCs/>
        </w:rPr>
        <w:t xml:space="preserve">. </w:t>
      </w:r>
      <w:r w:rsidRPr="00FB35F7">
        <w:rPr>
          <w:rFonts w:ascii="Times New Roman" w:hAnsi="Times New Roman" w:cs="Times"/>
        </w:rPr>
        <w:t>L'objet de cette pratique est de revivifier, en quelque sorte, les vertus de la pierre et d'en renforcer l'efficacité. Il ne faut pas oublier, en effet, que les gens du clan sont eux-mêmes des parents de la plante ou de l'animal dont ils portent le nom ; en eux, et notamment dans leur sang, réside le même principe de vie. Il est donc naturel qu'on se serve de ce sang et des germes mystiques qu'il charrie pour assurer la repro</w:t>
      </w:r>
      <w:r w:rsidRPr="00FB35F7">
        <w:rPr>
          <w:rFonts w:ascii="Times" w:hAnsi="Times New Roman" w:cs="Times"/>
        </w:rPr>
        <w:softHyphen/>
      </w:r>
      <w:r w:rsidRPr="00FB35F7">
        <w:rPr>
          <w:rFonts w:ascii="Times New Roman" w:hAnsi="Times New Roman" w:cs="Times"/>
        </w:rPr>
        <w:t>duction régulière de l'espèce totémique. Quand un homme est malade ou fatigué, il arrive fréquemment chez les Arunta que, pour le ranimer, un de ses jeunes compagnons s'ouvre les veines et l'arrose de son sang </w:t>
      </w:r>
      <w:r w:rsidRPr="00FB35F7">
        <w:rPr>
          <w:rStyle w:val="Rimandonotaapidipagina"/>
          <w:rFonts w:ascii="Times" w:hAnsi="Times New Roman" w:cs="Times"/>
        </w:rPr>
        <w:footnoteReference w:id="120"/>
      </w:r>
      <w:r w:rsidRPr="00FB35F7">
        <w:rPr>
          <w:rFonts w:ascii="Times New Roman" w:hAnsi="Times New Roman" w:cs="Times"/>
        </w:rPr>
        <w:t>. Si le sang peut ainsi réveiller la vie chez un homme, il n'est pas surprenant qu'il puisse également servir à l'éveiller dans l'espèce animale ou végétale avec laquelle les hommes du clan se confondent.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même procédé est employé dans l'Intichiuma du Kangourou à Undiara (Arunta). Le théâtre de la cérémonie est un trou d'eau surplombé d'un rocher à pie. Ce rocher représente un animal kangourou de l'Acheringa qui a été tué et déposé à cet endroit par un homme-kangourou de la même époque; aussi de nombreux esprits de kangourous sont-ils censés y résider. Après qu'un certain nombre de pierres sacrées ont été frottées les unes contres les autres de la manière que nous avons décrite, plusieurs des assistants montent sur le rocher le long duquel ils laissent couler leur sang </w:t>
      </w:r>
      <w:r w:rsidRPr="00FB35F7">
        <w:rPr>
          <w:rStyle w:val="Rimandonotaapidipagina"/>
          <w:rFonts w:ascii="Times" w:hAnsi="Times New Roman" w:cs="Times"/>
        </w:rPr>
        <w:footnoteReference w:id="121"/>
      </w:r>
      <w:r w:rsidRPr="00FB35F7">
        <w:rPr>
          <w:rFonts w:ascii="Times New Roman" w:hAnsi="Times New Roman" w:cs="Times"/>
        </w:rPr>
        <w:t>. « Le but de la cérémonie, d'après ce que disent les indigènes, est actuellement le suivant. Le sang d'homme-kangourou, ainsi répandu sur le rocher, est destiné à en chasser les esprits des kangourous-animaux qui s'y trouvent et à les disperser dans toutes les directions ; ce qui doit avoir pour effet d'accroître le nombre des kangourous </w:t>
      </w:r>
      <w:r w:rsidRPr="00FB35F7">
        <w:rPr>
          <w:rStyle w:val="Rimandonotaapidipagina"/>
          <w:rFonts w:ascii="Times" w:hAnsi="Times New Roman" w:cs="Times"/>
        </w:rPr>
        <w:footnoteReference w:id="122"/>
      </w:r>
      <w:r w:rsidRPr="00FB35F7">
        <w:rPr>
          <w:rFonts w:ascii="Times New Roman" w:hAnsi="Times New Roman" w:cs="Times"/>
        </w:rPr>
        <w:t>. »</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Il y a même un cas chez les Arunta où le sang paraît être le principe actif du rite. Dans le groupe de l'Émou, on n'emploie pas de pierres sacrées ni rien qui y ressemble. L'Alatunja et quelques-uns de ses assistants arrosent le sol de leur sang ; sur la terre ainsi imbibée, on trace des lignes, de diverses couleurs, qui représentent les différentes parties du corps de l'émou. On s'agenouille autour de ce dessin et l'on chante un chant monotone. C'est de l'émou fictif ainsi incanté et, par conséquent, du sang qui a servi à le faire, que sont censés partir les principes vivants qui, en animant les embryons de la génération nouvelle, empêcheront l'espèce de disparaître </w:t>
      </w:r>
      <w:r w:rsidRPr="00FB35F7">
        <w:rPr>
          <w:rStyle w:val="Rimandonotaapidipagina"/>
          <w:rFonts w:ascii="Times" w:hAnsi="Times New Roman" w:cs="Times"/>
        </w:rPr>
        <w:footnoteReference w:id="12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Chez les Wonkgongaru </w:t>
      </w:r>
      <w:r w:rsidRPr="00FB35F7">
        <w:rPr>
          <w:rStyle w:val="Rimandonotaapidipagina"/>
          <w:rFonts w:ascii="Times" w:hAnsi="Times New Roman" w:cs="Times"/>
        </w:rPr>
        <w:footnoteReference w:id="124"/>
      </w:r>
      <w:r w:rsidRPr="00FB35F7">
        <w:rPr>
          <w:rFonts w:ascii="Times New Roman" w:hAnsi="Times New Roman" w:cs="Times"/>
        </w:rPr>
        <w:t>, il y a un clan qui a pour totem une certaine sorte de poisson ; c'est également le sang qui joue le rôle principal dans l'Intichiuma de ce totem. Le chef du groupe, après s'être peint cérémoniellement, entre dans un trou d'eau et s'y asseoit. Puis, avec de petits os pointus, il se perce successivement le scrotum et la peau autour du nombril. « Le sang qui coule de ces différentes blessures se répand dans l'eau et donne naissance aux poissons </w:t>
      </w:r>
      <w:r w:rsidRPr="00FB35F7">
        <w:rPr>
          <w:rStyle w:val="Rimandonotaapidipagina"/>
          <w:rFonts w:ascii="Times" w:hAnsi="Times New Roman" w:cs="Times"/>
        </w:rPr>
        <w:footnoteReference w:id="125"/>
      </w:r>
      <w:r w:rsidRPr="00FB35F7">
        <w:rPr>
          <w:rFonts w:ascii="Times New Roman" w:hAnsi="Times New Roman" w:cs="Times"/>
        </w:rPr>
        <w:t xml:space="preserve">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par une pratique tout à fait similaire que les Dieri croient assurer la reproduction de deux de leurs totems, le serpent tapis et le serpent woma (serpent ordinaire). Un Mura-mura appelé Minkani est censé résider sous une dune. Son corps est représenté par des ossements fossiles d'animaux ou de reptiles comme en contiennent, nous dit Howitt, les deltas des rivières qui se déversent dans le lac Eyre.</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Quand le jour de la cérémonie est venu, les hommes s'assemblent et se rendent à l'endroit où se trouve le Minkani. Là, ils creusent jusqu'à ce qu'ils atteignent une couche de terre humide et ce qu'ils appellent « les excréments du Minkani ». A partir de ce moment, on continue à fouiller le sol avec de grandes précautions jusqu'à ce qu'on mette à découvert « le coude du Minkani ». Alors, deux hommes s'ouvrent les veines et laissent leur sang couler sur la pierre sacrée. On chante le chant du Minkani tandis que les assistants, emportés par une véritable frénésie, se frappent les uns les autres avec leurs armes. La bataille dure jusqu'à ce qu'ils soient rentrés au camp, qui est situé à une distance d'un mille environ. Là, les femmes interviennent et mettent fin au combat. On recueille le sang qui coule des blessures, on le mêle aux « excréments du Minkani » et on sème les produits du mélange sur la dune. Le rite accompli, on est convaincu que les serpents tapis naîtront en abondance </w:t>
      </w:r>
      <w:r w:rsidRPr="00FB35F7">
        <w:rPr>
          <w:rStyle w:val="Rimandonotaapidipagina"/>
          <w:rFonts w:ascii="Times" w:hAnsi="Times New Roman" w:cs="Times"/>
        </w:rPr>
        <w:footnoteReference w:id="126"/>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Dans quelques cas, on emploie, comme principe vivifiant, la substance même que l'on cherche à produire. Ainsi chez les Kaitish, au cours d'une cérémonie qui a pour but de faire de la pluie, on arrose d'eau une pierre sacrée, qui représente des héros mythiques du clan de l'Eau. Il est évident que, par ce moyen, on croit augmenter les vertus productrices de la pierre tout aussi bien qu'avec du sang, et pour les mêmes raisons </w:t>
      </w:r>
      <w:r w:rsidRPr="00FB35F7">
        <w:rPr>
          <w:rStyle w:val="Rimandonotaapidipagina"/>
          <w:rFonts w:ascii="Times" w:hAnsi="Times New Roman" w:cs="Times"/>
        </w:rPr>
        <w:footnoteReference w:id="127"/>
      </w:r>
      <w:r w:rsidRPr="00FB35F7">
        <w:rPr>
          <w:rFonts w:ascii="Times New Roman" w:hAnsi="Times New Roman" w:cs="Times"/>
        </w:rPr>
        <w:t>. Chez les Mara, l'opérateur va puiser de l'eau dans un trou sacré, il en boit et en crache dans toutes les directions </w:t>
      </w:r>
      <w:r w:rsidRPr="00FB35F7">
        <w:rPr>
          <w:rStyle w:val="Rimandonotaapidipagina"/>
          <w:rFonts w:ascii="Times" w:hAnsi="Times New Roman" w:cs="Times"/>
        </w:rPr>
        <w:footnoteReference w:id="128"/>
      </w:r>
      <w:r w:rsidRPr="00FB35F7">
        <w:rPr>
          <w:rFonts w:ascii="Times New Roman" w:hAnsi="Times New Roman" w:cs="Times"/>
        </w:rPr>
        <w:t>. Chez les Worgaia, quand les ignames commencent à pousser, le chef du clan de l'Igname envoie les gens de la phratrie à laquelle il n'appartient pas lui-même cueillir de ces plantes; ceux-ci lui en rapportent quelques-unes et lui demandent d'intervenir pour que l'espèce se développe bien. Il en prend une, la mord et jette les morceaux de tous les côtés </w:t>
      </w:r>
      <w:r w:rsidRPr="00FB35F7">
        <w:rPr>
          <w:rStyle w:val="Rimandonotaapidipagina"/>
          <w:rFonts w:ascii="Times" w:hAnsi="Times New Roman" w:cs="Times"/>
        </w:rPr>
        <w:footnoteReference w:id="129"/>
      </w:r>
      <w:r w:rsidRPr="00FB35F7">
        <w:rPr>
          <w:rFonts w:ascii="Times New Roman" w:hAnsi="Times New Roman" w:cs="Times"/>
        </w:rPr>
        <w:t>. Chez les Kaitish, quand, après des rites variés que nous ne décrivons pas, une certaine graine d'herbe appelée Erlipinna est parvenue à son plein développement, le chef du totem en apporte un peu au camp des hommes et la moud entre deux pierres; on recueille pieusement la poussière ainsi obtenue, et on en place quelques grains sur les lèvres du chef qui, en soufflant, les disperse dans tous les sens, Ce contact avec la bouche du chef, qui possède une vertu sacramentaire toute spéciale, a, sans doute, pour objet de stimuler la vitalité des germes que ces grains contiennent et qui, projetés à tous les coins de l'horizon, vont communiquer aux plantes les propriétés fécondantes qu'ils possèdent </w:t>
      </w:r>
      <w:r w:rsidRPr="00FB35F7">
        <w:rPr>
          <w:rStyle w:val="Rimandonotaapidipagina"/>
          <w:rFonts w:ascii="Times" w:hAnsi="Times New Roman" w:cs="Times"/>
        </w:rPr>
        <w:footnoteReference w:id="13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L'efficacité de ces rites ne fait pas de doute pour l'indigène : il est convaincu qu'ils doi</w:t>
      </w:r>
      <w:r w:rsidRPr="00FB35F7">
        <w:rPr>
          <w:rFonts w:ascii="Times" w:hAnsi="Times New Roman" w:cs="Times"/>
        </w:rPr>
        <w:softHyphen/>
      </w:r>
      <w:r w:rsidRPr="00FB35F7">
        <w:rPr>
          <w:rFonts w:ascii="Times New Roman" w:hAnsi="Times New Roman" w:cs="Times"/>
        </w:rPr>
        <w:t>vent produire les résultats qu'il en attend, avec une sorte de nécessité. Si l'événement trompe ses espérances, il en conclut simplement qu'ils ont été contrecarrés par les maléfices de quelque groupe hostile. En tout cas, il ne lui vient pas à l'esprit qu'un résultat favorable puisse être obtenu par d'autres moyens. Si, par hasard, la végétation pousse ou si les animaux prolifèrent avant qu'il n'ait procédé lui-même à l'Intichiuma, il suppose qu'un autre Intichiuma a été célébré, sous terre, par les âmes des ancêtres et que les vivants recueillent les bénéfices de cette cérémonie souterraine </w:t>
      </w:r>
      <w:r w:rsidRPr="00FB35F7">
        <w:rPr>
          <w:rStyle w:val="Rimandonotaapidipagina"/>
          <w:rFonts w:ascii="Times" w:hAnsi="Times New Roman" w:cs="Times"/>
        </w:rPr>
        <w:footnoteReference w:id="131"/>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12" w:name="livre_3_chap_2_2"/>
      <w:r w:rsidRPr="00FB35F7">
        <w:rPr>
          <w:rFonts w:ascii="Times New Roman" w:hAnsi="Times New Roman"/>
        </w:rPr>
        <w:t>II</w:t>
      </w:r>
    </w:p>
    <w:bookmarkEnd w:id="12"/>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Tel est le premier acte de la fête.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Dans la période qui suit immédiatement, il n'y a pas de cérémonie proprement dite. Cependant, la vie religieuse reste intense : elle se manifeste par une aggravation du système ordinaire des interdits. Le caractère sacré du totem est comme renforcé : on ose moins y toucher. Alors que, en temps normal, les Arunta peuvent manger de l'animal ou de la plante qui leur sert de totem pourvu que ce soit avec modération, au lendemain de l'Intichiuma, ce droit est suspendu ; l'interdiction alimentaire est stricte et sans réserve. On croit que toute violation de cet interdit aurait pour résultat de neutraliser les heureux effets du rite et d'arrêter la croissance de l'espèce. Les gens des autres totems qui se trouvent dans la même localité ne sont pas, il est vrai, soumis à la même prohibition. Cependant, à ce moment, leur liberté est moindre qu'à l'ordinaire. Ils ne peuvent consommer l'animal totémique en un lieu quelcon</w:t>
      </w:r>
      <w:r w:rsidRPr="00FB35F7">
        <w:rPr>
          <w:rFonts w:ascii="Times" w:hAnsi="Times New Roman" w:cs="Times"/>
        </w:rPr>
        <w:softHyphen/>
      </w:r>
      <w:r w:rsidRPr="00FB35F7">
        <w:rPr>
          <w:rFonts w:ascii="Times New Roman" w:hAnsi="Times New Roman" w:cs="Times"/>
        </w:rPr>
        <w:t>que, par exemple dans la brousse ; mais ils sont tenus de l'apporter au camp et c'est là seulement qu'il doit être cuit </w:t>
      </w:r>
      <w:r w:rsidRPr="00FB35F7">
        <w:rPr>
          <w:rStyle w:val="Rimandonotaapidipagina"/>
          <w:rFonts w:ascii="Times" w:hAnsi="Times New Roman" w:cs="Times"/>
        </w:rPr>
        <w:footnoteReference w:id="132"/>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Une dernière cérémonie vient mettre un terme à ces interdits extraordinaires et clore définitivement cette longue série de rites. Elle varie quelque peu suivant les clans; mais les éléments essentiels en sont partout les mêmes. Voici deux des principales formes qu'elle présente chez les Arunta. L'une se rapporte à la Chenille witchetty, l'autre au Kangourou.</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Une fois que les chenilles sont arrivées à la pleine maturité et qu'elles se montrent en abondance, les gens du totem, aussi bien que les étrangers, vont en ramasser le plus possible ; puis tous rapportent au camp celles qu'ils ont trouvées et ils les font cuire jusqu'à ce qu'elles deviennent dures et cassantes. Les produits de la cuisson sont conservés dans des espèces de vaisseaux de bois appelés </w:t>
      </w:r>
      <w:r w:rsidRPr="00FB35F7">
        <w:rPr>
          <w:rFonts w:ascii="Times New Roman" w:hAnsi="Times New Roman" w:cs="Times"/>
          <w:i/>
          <w:iCs/>
        </w:rPr>
        <w:t xml:space="preserve">pitchi. </w:t>
      </w:r>
      <w:r w:rsidRPr="00FB35F7">
        <w:rPr>
          <w:rFonts w:ascii="Times New Roman" w:hAnsi="Times New Roman" w:cs="Times"/>
        </w:rPr>
        <w:t xml:space="preserve">La récolte des chenilles n'est possible que pendant un temps très court, car elles n'apparaissent qu'après la pluie. Quand elles commencent à devenir moins nombreuses, l'Alatunja convoque tout le monde au camp des hommes ; sur son invitation, chacun apporte sa provision. Les étrangers déposent la leur devant les gens du totem. L'Alatunja prend un de ces </w:t>
      </w:r>
      <w:r w:rsidRPr="00FB35F7">
        <w:rPr>
          <w:rFonts w:ascii="Times New Roman" w:hAnsi="Times New Roman" w:cs="Times"/>
          <w:i/>
          <w:iCs/>
        </w:rPr>
        <w:t xml:space="preserve">pitchi </w:t>
      </w:r>
      <w:r w:rsidRPr="00FB35F7">
        <w:rPr>
          <w:rFonts w:ascii="Times New Roman" w:hAnsi="Times New Roman" w:cs="Times"/>
        </w:rPr>
        <w:t>et, avec l'aide de ses compagnons, en moud le contenu entre deux pierres ; après, quoi, il mange un peu de la poudre ainsi obtenue, ses assistants en font autant, et le reste est remis aux gens des autres clans qui peuvent, dès lors, en disposer librement. On procède exactement de la même manière pour la provision qu'a faite l'Alatunja. A partir de ce moment, les hommes et les femmes du totem peuvent en manger, mais seule</w:t>
      </w:r>
      <w:r w:rsidRPr="00FB35F7">
        <w:rPr>
          <w:rFonts w:ascii="Times" w:hAnsi="Times New Roman" w:cs="Times"/>
        </w:rPr>
        <w:softHyphen/>
      </w:r>
      <w:r w:rsidRPr="00FB35F7">
        <w:rPr>
          <w:rFonts w:ascii="Times New Roman" w:hAnsi="Times New Roman" w:cs="Times"/>
        </w:rPr>
        <w:t>ment un peu ; car s'ils dépassaient les limites permises, ils perdraient les pouvoirs nécessaires pour célébrer l'Intichiuma et l'espèce ne se reproduirait pas. Seulement, s'ils n'en mangeaient pas du tout, et surtout si, dans les circonstances que nous venons de dire, l'Alatunja s'abstenait totalement d'en manger, ils seraient frappés de la même incapacité.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Dans le groupe totémique du Kangourou qui a son centre à Undiara, certaines des caractéristiques de la cérémonie sont marquées d'une manière plus apparente. Après que les rites que nous avons décrits sont accomplis sur le rocher sacré, les jeunes gens s'en vont chasser le kangourou et rapportent leur gibier au camp des hommes. Là, les anciens, au milieu desquels se tient l'Alatunja, mangent un peu de la chair de l'animal et, oignent avec de la graisse le corps de ceux qui ont pris part à l'Intichiuma. Le reste est partagé entre les hommes assemblés. Ensuite, les gens du totem se décorent de dessins totémiques et la nuit se passe en chants qui rappellent les exploits accomplis au temps de l'Acheringa par les hommes et les animaux kangourous. Le lendemain, les jeunes gens retournent chasser dans la forêt, en rapportent un plus grand nombre de kangourous que la première fois et la cérémonie de la veille recommence </w:t>
      </w:r>
      <w:r w:rsidRPr="00FB35F7">
        <w:rPr>
          <w:rStyle w:val="Rimandonotaapidipagina"/>
          <w:rFonts w:ascii="Times" w:hAnsi="Times New Roman" w:cs="Times"/>
        </w:rPr>
        <w:footnoteReference w:id="13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Avec des variantes de détails, on trouve le même rite dans d'autres clans arunta </w:t>
      </w:r>
      <w:r w:rsidRPr="00FB35F7">
        <w:rPr>
          <w:rStyle w:val="Rimandonotaapidipagina"/>
          <w:rFonts w:ascii="Times" w:hAnsi="Times New Roman" w:cs="Times"/>
        </w:rPr>
        <w:footnoteReference w:id="134"/>
      </w:r>
      <w:r w:rsidRPr="00FB35F7">
        <w:rPr>
          <w:rFonts w:ascii="Times New Roman" w:hAnsi="Times New Roman" w:cs="Times"/>
        </w:rPr>
        <w:t>, chez les Urabunna </w:t>
      </w:r>
      <w:r w:rsidRPr="00FB35F7">
        <w:rPr>
          <w:rStyle w:val="Rimandonotaapidipagina"/>
          <w:rFonts w:ascii="Times" w:hAnsi="Times New Roman" w:cs="Times"/>
        </w:rPr>
        <w:footnoteReference w:id="135"/>
      </w:r>
      <w:r w:rsidRPr="00FB35F7">
        <w:rPr>
          <w:rFonts w:ascii="Times New Roman" w:hAnsi="Times New Roman" w:cs="Times"/>
        </w:rPr>
        <w:t>, les Kaitish </w:t>
      </w:r>
      <w:r w:rsidRPr="00FB35F7">
        <w:rPr>
          <w:rStyle w:val="Rimandonotaapidipagina"/>
          <w:rFonts w:ascii="Times" w:hAnsi="Times New Roman" w:cs="Times"/>
        </w:rPr>
        <w:footnoteReference w:id="136"/>
      </w:r>
      <w:r w:rsidRPr="00FB35F7">
        <w:rPr>
          <w:rFonts w:ascii="Times New Roman" w:hAnsi="Times New Roman" w:cs="Times"/>
        </w:rPr>
        <w:t>, les Unmatjera </w:t>
      </w:r>
      <w:r w:rsidRPr="00FB35F7">
        <w:rPr>
          <w:rStyle w:val="Rimandonotaapidipagina"/>
          <w:rFonts w:ascii="Times" w:hAnsi="Times New Roman" w:cs="Times"/>
        </w:rPr>
        <w:footnoteReference w:id="137"/>
      </w:r>
      <w:r w:rsidRPr="00FB35F7">
        <w:rPr>
          <w:rFonts w:ascii="Times New Roman" w:hAnsi="Times New Roman" w:cs="Times"/>
        </w:rPr>
        <w:t>, dans la tribu de la baie de la rencontre </w:t>
      </w:r>
      <w:r w:rsidRPr="00FB35F7">
        <w:rPr>
          <w:rStyle w:val="Rimandonotaapidipagina"/>
          <w:rFonts w:ascii="Times" w:hAnsi="Times New Roman" w:cs="Times"/>
        </w:rPr>
        <w:footnoteReference w:id="138"/>
      </w:r>
      <w:r w:rsidRPr="00FB35F7">
        <w:rPr>
          <w:rFonts w:ascii="Times New Roman" w:hAnsi="Times New Roman" w:cs="Times"/>
        </w:rPr>
        <w:t>. Partout, il est fait des mêmes éléments essentiels. Quelques spécimens de la plante ou de l'animal totémique sont présentés au chef du clan qui en mange solennellement et qui est tenu d'en manger. S'il ne s'acquittait pas de ce devoir, il perdrait le pouvoir qu'il a de célébrer efficace</w:t>
      </w:r>
      <w:r w:rsidRPr="00FB35F7">
        <w:rPr>
          <w:rFonts w:ascii="Times" w:hAnsi="Times New Roman" w:cs="Times"/>
        </w:rPr>
        <w:softHyphen/>
      </w:r>
      <w:r w:rsidRPr="00FB35F7">
        <w:rPr>
          <w:rFonts w:ascii="Times New Roman" w:hAnsi="Times New Roman" w:cs="Times"/>
        </w:rPr>
        <w:t>ment l'Intichiuma, c'est-à-dire de recréer annuellement l'espèce. Parfois, la consommation rituelle est suivie d'une onction faite avec la graisse de l'animal ou certaines parties de la plante </w:t>
      </w:r>
      <w:r w:rsidRPr="00FB35F7">
        <w:rPr>
          <w:rStyle w:val="Rimandonotaapidipagina"/>
          <w:rFonts w:ascii="Times" w:hAnsi="Times New Roman" w:cs="Times"/>
        </w:rPr>
        <w:footnoteReference w:id="139"/>
      </w:r>
      <w:r w:rsidRPr="00FB35F7">
        <w:rPr>
          <w:rFonts w:ascii="Times New Roman" w:hAnsi="Times New Roman" w:cs="Times"/>
        </w:rPr>
        <w:t>. Généralement, le rite est ensuite répété par les gens du totem ou, tout au moins, par les anciens et, une fois qu'il est accompli, les interdits exceptionnels sont levés.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Dans les tribus situées plus au nord, chez les Warramunga et dans les sociétés voisines </w:t>
      </w:r>
      <w:r w:rsidRPr="00FB35F7">
        <w:rPr>
          <w:rStyle w:val="Rimandonotaapidipagina"/>
          <w:rFonts w:ascii="Times" w:hAnsi="Times New Roman" w:cs="Times"/>
        </w:rPr>
        <w:footnoteReference w:id="140"/>
      </w:r>
      <w:r w:rsidRPr="00FB35F7">
        <w:rPr>
          <w:rFonts w:ascii="Times New Roman" w:hAnsi="Times New Roman" w:cs="Times"/>
        </w:rPr>
        <w:t>, cette cérémonie fait actuellement défaut. Toutefois, on en trouve encore des traces qui semblent bien témoigner qu'il fut un temps où elle n'était pas ignorée. jamais, il est vrai, le chef du clan ne mange rituellement et obligatoirement du totem. Mais, dans certains cas, les gens qui ne sont pas du totem dont l'Intichiuma vient d'être célébré, sont tenus d'apporter l'animal ou la plante au camp et de l'offrir au chef en lui demandant s'il vent en manger. Il refuse et ajoute : « J'ai fait ceci pour vous ; vous pouvez en manger librement </w:t>
      </w:r>
      <w:r w:rsidRPr="00FB35F7">
        <w:rPr>
          <w:rStyle w:val="Rimandonotaapidipagina"/>
          <w:rFonts w:ascii="Times" w:hAnsi="Times New Roman" w:cs="Times"/>
        </w:rPr>
        <w:footnoteReference w:id="141"/>
      </w:r>
      <w:r w:rsidRPr="00FB35F7">
        <w:rPr>
          <w:rFonts w:ascii="Times New Roman" w:hAnsi="Times New Roman" w:cs="Times"/>
        </w:rPr>
        <w:t xml:space="preserve"> ». L'usage de la présentation subsiste donc et la question posée au chef paraît bien se rapporter à une époque où la consommation rituelle était pratiquée </w:t>
      </w:r>
      <w:r w:rsidRPr="00FB35F7">
        <w:rPr>
          <w:rStyle w:val="Rimandonotaapidipagina"/>
          <w:rFonts w:ascii="Times" w:hAnsi="Times New Roman" w:cs="Times"/>
        </w:rPr>
        <w:footnoteReference w:id="142"/>
      </w:r>
      <w:r w:rsidRPr="00FB35F7">
        <w:rPr>
          <w:rFonts w:ascii="Times New Roman" w:hAnsi="Times New Roman" w:cs="Times"/>
        </w:rPr>
        <w:t>.</w:t>
      </w: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13" w:name="livre_3_chap_2_3"/>
      <w:r w:rsidRPr="00FB35F7">
        <w:rPr>
          <w:rFonts w:ascii="Times New Roman" w:hAnsi="Times New Roman"/>
        </w:rPr>
        <w:t>III</w:t>
      </w:r>
    </w:p>
    <w:bookmarkEnd w:id="13"/>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 qui fait l'intérêt du système de rites qui vient d'être décrit, c'est qu'on y trouve, sous la forme la plus élémentaire qui soit actuellement connue, tous les principes essentiels d'une grande institution religieuse qui était appelée à devenir un des fondements du culte positif dans les religions supérieures : c'est l'institution sacrificielle.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sait quelle révolution les travaux de Robertson Smith ont déterminée dans la théorie traditionnelle du sacrifice </w:t>
      </w:r>
      <w:r w:rsidRPr="00FB35F7">
        <w:rPr>
          <w:rStyle w:val="Rimandonotaapidipagina"/>
          <w:rFonts w:ascii="Times" w:hAnsi="Times New Roman" w:cs="Times"/>
        </w:rPr>
        <w:footnoteReference w:id="143"/>
      </w:r>
      <w:r w:rsidRPr="00FB35F7">
        <w:rPr>
          <w:rFonts w:ascii="Times New Roman" w:hAnsi="Times New Roman" w:cs="Times"/>
        </w:rPr>
        <w:t>. Jusqu'à lui, on ne voyait dans le sacrifice qu'une sorte de tribut ou d'hommage, obligatoire on gracieux, analogue à ceux que les sujets doivent à leurs princes. Robertson Smith fut le premier à faire remarquer que cette explication classique ne tenait pas compte de deux caractères essentiels du rite. Tout d'abord, c'est un repas ; ce sont des aliments qui en sont la matière. De plus, c'est un repas auquel les fidèles qui l'offrent prennent part en même temps que le dieu auquel il est offert. Certaines parties de la victime sont réservées à la divinité ; d'autres sont attribuées aux sacrifiants qui les consomment ; c'est pourquoi, dans la Bible, le sacrifice est parfois appelé un repas fait devant Iahve. Or les repas pris en commun passent, dans une multitude de sociétés, pour créer entre ceux qui y assistent un lien de parenté artificielle. Des parents, en effet, sont des êtres qui sont naturellement faits de la même chair et du même sang. Mais l'alimentation refait sans cesse la substance de l'organisme. Une commune alimentation peut donc produire les mêmes effets qu'une com</w:t>
      </w:r>
      <w:r w:rsidRPr="00FB35F7">
        <w:rPr>
          <w:rFonts w:ascii="Times" w:hAnsi="Times New Roman" w:cs="Times"/>
        </w:rPr>
        <w:softHyphen/>
      </w:r>
      <w:r w:rsidRPr="00FB35F7">
        <w:rPr>
          <w:rFonts w:ascii="Times New Roman" w:hAnsi="Times New Roman" w:cs="Times"/>
        </w:rPr>
        <w:t>mune origine. Suivant Smith, les banquets sacrificiels auraient précisément pour objet de faire communier dans une même chair le fidèle et son dieu afin de nouer entre eux un lien de parenté. De ce point de vue, le sacrifice apparaissait sous un aspect tout nouveau. Ce qui le constituait essentiellement, ce n'était plus, comme on l'avait cru si longtemps, l'acte de renon</w:t>
      </w:r>
      <w:r w:rsidRPr="00FB35F7">
        <w:rPr>
          <w:rFonts w:ascii="Times" w:hAnsi="Times New Roman" w:cs="Times"/>
        </w:rPr>
        <w:softHyphen/>
      </w:r>
      <w:r w:rsidRPr="00FB35F7">
        <w:rPr>
          <w:rFonts w:ascii="Times New Roman" w:hAnsi="Times New Roman" w:cs="Times"/>
        </w:rPr>
        <w:t>ce</w:t>
      </w:r>
      <w:r w:rsidRPr="00FB35F7">
        <w:rPr>
          <w:rFonts w:ascii="Times" w:hAnsi="Times New Roman" w:cs="Times"/>
        </w:rPr>
        <w:softHyphen/>
      </w:r>
      <w:r w:rsidRPr="00FB35F7">
        <w:rPr>
          <w:rFonts w:ascii="Times New Roman" w:hAnsi="Times New Roman" w:cs="Times"/>
        </w:rPr>
        <w:t>ment que le mot de sacrifice exprime d'ordinaire ; c'était, avant tout, un acte de communion alimentaire.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y aurait, sans doute, quelques réserves à faire, dans le détail, sur cette façon d'expliquer l'efficacité des banquets sacrificiels. Celle-ci ne résulte pas exclusivement du fait de la commensalité. L'homme ne se sanctifie pas uniquement parce qu'il s'asseoit, en quelque sorte, à la même table que le dieu, mais surtout parce que l'aliment qu'il consomme dans ce repas rituel a un caractère sacré. On a montré, en effet, comment, dans le sacrifice, toute une série d'opérations préliminaires, lustrations, onctions, prières, etc., transforment l'animal qui doit être immolé en une chose sainte, dont la sainteté se communique ensuite au fidèle qui en mange </w:t>
      </w:r>
      <w:r w:rsidRPr="00FB35F7">
        <w:rPr>
          <w:rStyle w:val="Rimandonotaapidipagina"/>
          <w:rFonts w:ascii="Times" w:hAnsi="Times New Roman" w:cs="Times"/>
        </w:rPr>
        <w:footnoteReference w:id="144"/>
      </w:r>
      <w:r w:rsidRPr="00FB35F7">
        <w:rPr>
          <w:rFonts w:ascii="Times New Roman" w:hAnsi="Times New Roman" w:cs="Times"/>
        </w:rPr>
        <w:t>. Il n'en reste pas moins que la communion alimentaire est un des éléments essentiels du sacrifice. Or, qu'on se reporte au rite par lequel se clôturent les cérémonies de l'Intichiuma; lui aussi consiste en un acte de ce genre. L'animal totémique une fois tué, l'Alatunja et les anciens en mangent solennellement. Ils communient donc avec le principe sacré qui y réside et ils se l'assimilent. Toute la différence, c'est que, ici l'animal est sacré naturellement tandis que, d'ordinaire, il n'acquiert ce caractère qu'artificiellement au cours du sacrifice.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L'objet de cette communion est, d'ailleurs, manifeste. Tout membre d'un clan totémique porte en soi une sorte de substance mystique qui constitue la partie éminente de son être, car c'est d'elle qu'est faite son âme. C'est d'elle que lui viennent les pouvoirs qu'il s'attribue et son rôle social ; c'est par elle qu'il est une personne. Il a donc un intérêt vital à la conserver intacte, à la maintenir, autant que possible, dans un état de perpétuelle jeunesse. Malheureu</w:t>
      </w:r>
      <w:r w:rsidRPr="00FB35F7">
        <w:rPr>
          <w:rFonts w:ascii="Times" w:hAnsi="Times New Roman" w:cs="Times"/>
        </w:rPr>
        <w:softHyphen/>
      </w:r>
      <w:r w:rsidRPr="00FB35F7">
        <w:rPr>
          <w:rFonts w:ascii="Times New Roman" w:hAnsi="Times New Roman" w:cs="Times"/>
        </w:rPr>
        <w:t>se</w:t>
      </w:r>
      <w:r w:rsidRPr="00FB35F7">
        <w:rPr>
          <w:rFonts w:ascii="Times" w:hAnsi="Times New Roman" w:cs="Times"/>
        </w:rPr>
        <w:softHyphen/>
      </w:r>
      <w:r w:rsidRPr="00FB35F7">
        <w:rPr>
          <w:rFonts w:ascii="Times New Roman" w:hAnsi="Times New Roman" w:cs="Times"/>
        </w:rPr>
        <w:t>ment, toutes les forces, même les plus spirituelles, s'usent par l'effet du temps, si rien ne vient leur rendre l'énergie qu'elles perdent par le cours naturel des choses : il y a là une nécessité primordiale qui, comme nous le verrons, est la raison profonde du culte positif. Les gens d'un totem ne peuvent donc rester eux-mêmes que s'ils revivifient périodiquement le principe totémique qui est en eux ; et comme ce principe, ils se le représentent sous la forme d'un végétal ou d'un animal, c'est à l'espèce animale ou végétale correspondante qu'ils vont demander les forces supplémentaires dont ils ont besoin pour le renouveler et le rajeunir. Un homme du clan du Kangourou se croit, se sent être un kangourou ; c'est par cette qualité qu'il se définit ; c'est elle qui marque sa place dans la société. Pour la garder, il fait de temps en temps passer dans sa propre substance un peu de la chair de ce même animal. Quelques parcelles suffisent d'ailleurs, en vertu de la règle : la partie vaut le tout </w:t>
      </w:r>
      <w:r w:rsidRPr="00FB35F7">
        <w:rPr>
          <w:rStyle w:val="Rimandonotaapidipagina"/>
          <w:rFonts w:ascii="Times" w:hAnsi="Times New Roman" w:cs="Times"/>
        </w:rPr>
        <w:footnoteReference w:id="14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pour que cette opération puisse produire tous les effets qu'on en attend, il importe qu'elle n'ait pas lieu à un moment quelconque. Le plus opportun est celui où la nouvelle génération vient d'arriver à son complet développement ; car c'est aussi le moment où les forces qui animent l'espèce totémique atteignent leur plein épanouissement. C'est à peine si elles viennent d'être extraites de ces riches réservoirs de vie que sont les arbres et les rochers sacrés. De plus, toute sorte de moyens ont été employés pour accroître encore leur intensité ; c'est à quoi ont servi les rites qui se sont déroulés pendant la première partie de l'Intichiuma. Au reste, par leur aspect même, les premiers produits de la récolte manifestent l'énergie qu'ils recèlent : le dieu totémique s'y affirme dans tout l'éclat de la jeunesse. C'est pourquoi, de tout temps, les prémices ont été considérés comme un aliment très sacré, réservé à des êtres très saints. Il est donc naturel que l'Australien s'en serve pour se régénérer spirituellement. Ainsi s'expliquent et la date et les circonstances de la cérémonie.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s'étonnera peut-être qu'un aliment aussi sacré puisse être consommé par de simples profanes. Mais d'abord, il n'est pas de culte positif qui ne se meuve dans cette contradiction. Tous les êtres sacrés, en raison du caractère dont ils sont marqués, sont soustraits aux atteintes profanes ; mais d'un autre côté, ils ne serviraient à rien et manqueraient de toute raison d'être s'ils n'étaient mis en rapports avec ces mêmes fidèles qui, par ailleurs, doivent en rester respectueusement éloignés. Il n'y a pas de rite positif qui, au fond, ne constitue un véritable sacrilège ; car l'homme ne peut commercer avec les êtres sacrés sans franchir la barrière qui, normalement, doit l'en tenir séparé</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Tout ce qui importe, c'est que le sacrilège soit accompli avec des précautions qui l'atté</w:t>
      </w:r>
      <w:r w:rsidRPr="00FB35F7">
        <w:rPr>
          <w:rFonts w:ascii="Times" w:hAnsi="Times New Roman" w:cs="Times"/>
        </w:rPr>
        <w:softHyphen/>
      </w:r>
      <w:r w:rsidRPr="00FB35F7">
        <w:rPr>
          <w:rFonts w:ascii="Times New Roman" w:hAnsi="Times New Roman" w:cs="Times"/>
        </w:rPr>
        <w:t>nuent. Parmi celles qui sont employées, la plus usuelle consiste à ménager la transition et à n'engager que lentement et graduellement le fidèle dans le cercle des choses sacrées. Ainsi fragmenté et dilué, le sacrilège ne heurte pas violemment la conscience religieuse ; il n'est pas senti comme tel et s'évanouit. Or, c'est ce qui a lieu dans le cas qui nous occupe. Toute la série de cérémonies qui a précédé le moment où le totem est solennellement mangé a eu pour effet de sanctifier progressivement ceux qui y ont pris une part active. C'est une période essentiellement religieuse qu'ils n'ont pu traverser sans que leur état religieux se soit transformé. Les jeûnes, le contact des rochers sacrés, des churinga </w:t>
      </w:r>
      <w:r w:rsidRPr="00FB35F7">
        <w:rPr>
          <w:rStyle w:val="Rimandonotaapidipagina"/>
          <w:rFonts w:ascii="Times" w:hAnsi="Times New Roman" w:cs="Times"/>
        </w:rPr>
        <w:footnoteReference w:id="146"/>
      </w:r>
      <w:r w:rsidRPr="00FB35F7">
        <w:rPr>
          <w:rFonts w:ascii="Times New Roman" w:hAnsi="Times New Roman" w:cs="Times"/>
        </w:rPr>
        <w:t>, les décorations totémi</w:t>
      </w:r>
      <w:r w:rsidRPr="00FB35F7">
        <w:rPr>
          <w:rFonts w:ascii="Times" w:hAnsi="Times New Roman" w:cs="Times"/>
        </w:rPr>
        <w:softHyphen/>
      </w:r>
      <w:r w:rsidRPr="00FB35F7">
        <w:rPr>
          <w:rFonts w:ascii="Times New Roman" w:hAnsi="Times New Roman" w:cs="Times"/>
        </w:rPr>
        <w:t>ques, etc., leur ont peu à peu conféré un caractère qu'ils n'avaient pas antérieurement et qui leur permet d'affronter, sans profanation choquante et dangereuse, cet aliment désiré et redouté qui, en temps ordinaire, leur serait interdit </w:t>
      </w:r>
      <w:r w:rsidRPr="00FB35F7">
        <w:rPr>
          <w:rStyle w:val="Rimandonotaapidipagina"/>
          <w:rFonts w:ascii="Times" w:hAnsi="Times New Roman" w:cs="Times"/>
        </w:rPr>
        <w:footnoteReference w:id="147"/>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Si l'acte par lequel un être sacré est immolé, puis mangé par ceux qui l'adorent, peut être appelé un sacrifice, le rite dont il vient d'être question a droit à la même dénomination. Au reste, ce qui en montre bien la signification, ce sont les analogies frappantes qu'il présente avec d'autres pratiques que l'on rencontre dans un grand nombre de cultes agraires. C'est, en effet, une règle très générale, même chez des peuples parvenus à un haut degré de civilisation, que les premiers produits de la récolte servent de matière à des repas rituels dont le banquet pascal est l'exemple le plus connu </w:t>
      </w:r>
      <w:r w:rsidRPr="00FB35F7">
        <w:rPr>
          <w:rStyle w:val="Rimandonotaapidipagina"/>
          <w:rFonts w:ascii="Times" w:hAnsi="Times New Roman" w:cs="Times"/>
        </w:rPr>
        <w:footnoteReference w:id="148"/>
      </w:r>
      <w:r w:rsidRPr="00FB35F7">
        <w:rPr>
          <w:rFonts w:ascii="Times New Roman" w:hAnsi="Times New Roman" w:cs="Times"/>
        </w:rPr>
        <w:t>. Comme, d'autre part, les rites agraires sont à la base même des formes les plus élevées du culte, on voit que l'Intichiuma des sociétés australiennes est plus proche de nous qu'on ne pourrait croire d'après son apparente grossièreté.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Par une intuition de génie, Smith, sans connaître ces faits, en avait eu le pressentiment. Par une série d'ingénieuses déductions - qu'il est inutile de reproduire ici, car elles n'ont plus qu'un intérêt historique </w:t>
      </w:r>
      <w:r w:rsidRPr="00FB35F7">
        <w:rPr>
          <w:rStyle w:val="Rimandonotaapidipagina"/>
          <w:rFonts w:ascii="Times" w:hAnsi="Times New Roman" w:cs="Times"/>
        </w:rPr>
        <w:footnoteReference w:id="149"/>
      </w:r>
      <w:r w:rsidRPr="00FB35F7">
        <w:rPr>
          <w:rFonts w:ascii="Times New Roman" w:hAnsi="Times New Roman" w:cs="Times"/>
        </w:rPr>
        <w:t xml:space="preserve"> - il crut pouvoir établir que, à l'origine, l'animal immolé dans les sacrifices avait dû être considéré comme quasi divin et comme proche parent de ceux qui l'immolaient : or ces caractères sont précisément ceux par lesquels se définit l'espèce totémique. Smith en vint aussi à supposer que le totémisme avait dû connaître et pratiquer un rite tout à fait analogue à celui que nous venons d'étudier ; il penchait même à voir dans cette sorte de sacrifice la souche fondamentale de toute l'institution sacrificielle </w:t>
      </w:r>
      <w:r w:rsidRPr="00FB35F7">
        <w:rPr>
          <w:rStyle w:val="Rimandonotaapidipagina"/>
          <w:rFonts w:ascii="Times" w:hAnsi="Times New Roman" w:cs="Times"/>
        </w:rPr>
        <w:footnoteReference w:id="150"/>
      </w:r>
      <w:r w:rsidRPr="00FB35F7">
        <w:rPr>
          <w:rFonts w:ascii="Times New Roman" w:hAnsi="Times New Roman" w:cs="Times"/>
        </w:rPr>
        <w:t>. Le sacrifice n'aurait pas été institué à l'origine pour créer entre l'homme et ses dieux un lien de parenté artificielle, mais pour entretenir et renouveler la parenté naturelle qui les unissait primitive</w:t>
      </w:r>
      <w:r w:rsidRPr="00FB35F7">
        <w:rPr>
          <w:rFonts w:ascii="Times" w:hAnsi="Times New Roman" w:cs="Times"/>
        </w:rPr>
        <w:softHyphen/>
      </w:r>
      <w:r w:rsidRPr="00FB35F7">
        <w:rPr>
          <w:rFonts w:ascii="Times New Roman" w:hAnsi="Times New Roman" w:cs="Times"/>
        </w:rPr>
        <w:t>ment. Ici, comme ailleurs, l'artifice ne serait né que pour imiter la nature. Mais cette hypothèse ne se présentait guère dans le livre de Smith que comme une vue de l'esprit, que les faits alors connus ne justifiaient que très imparfaitement. Les rares cas de sacrifice totémique qu'il cite à l'appui de sa thèse n'ont pas la signification qu'il leur donne ; les animaux qui y figurent ne sont pas des totems proprement dits </w:t>
      </w:r>
      <w:r w:rsidRPr="00FB35F7">
        <w:rPr>
          <w:rStyle w:val="Rimandonotaapidipagina"/>
          <w:rFonts w:ascii="Times" w:hAnsi="Times New Roman" w:cs="Times"/>
        </w:rPr>
        <w:footnoteReference w:id="151"/>
      </w:r>
      <w:r w:rsidRPr="00FB35F7">
        <w:rPr>
          <w:rFonts w:ascii="Times New Roman" w:hAnsi="Times New Roman" w:cs="Times"/>
        </w:rPr>
        <w:t>. Mais aujourd'hui, il est permis de dire que, sur un point tout au moins, la démonstration est faite : nous venons de voir, en effet, que, dans un nombre important de sociétés, le sacrifice totémique, tel que Smith le concevait, est ou a été pratiqué. Sans doute, nous n'avons nullement la preuve que cette pratique soit nécessairement inhérente au totémisme ni qu'elle soit le germe d'où tous les autres types de sacrifice sont sortis. Mais si l'universalité du rite est hypothétique, l'existence n'en est plus contestable. On doit désormais regarder comme établi que la forme la plus mystique de la communion alimentaire se rencontre dès la religion la plus rudimentaire qui soit présentement connue.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14" w:name="livre_3_chap_2_4"/>
      <w:r w:rsidRPr="00FB35F7">
        <w:rPr>
          <w:rFonts w:ascii="Times New Roman" w:hAnsi="Times New Roman"/>
        </w:rPr>
        <w:t>IV</w:t>
      </w:r>
    </w:p>
    <w:bookmarkEnd w:id="14"/>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sur un autre point, les faits nouveaux dont nous disposons infirment les théories de Smith.</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Suivant lui, en effet, la communion ne serait pas seulement un élément essentiel du sacri</w:t>
      </w:r>
      <w:r w:rsidRPr="00FB35F7">
        <w:rPr>
          <w:rFonts w:ascii="Times" w:hAnsi="Times New Roman" w:cs="Times"/>
        </w:rPr>
        <w:softHyphen/>
      </w:r>
      <w:r w:rsidRPr="00FB35F7">
        <w:rPr>
          <w:rFonts w:ascii="Times New Roman" w:hAnsi="Times New Roman" w:cs="Times"/>
        </w:rPr>
        <w:t>fice ; elle en serait, au moins à l'origine, l'élément unique. Non seulement on se serait mépris quand on réduisait le sacrifice à n'être qu'un tribut ou une offrande, mais encore l'idée d'offrande en serait primitivement absente ; elle ne serait intervenue que tardivement, sous l'influence de circonstances extérieures, et elle masquerait la nature véritable de ce mécanis</w:t>
      </w:r>
      <w:r w:rsidRPr="00FB35F7">
        <w:rPr>
          <w:rFonts w:ascii="Times" w:hAnsi="Times New Roman" w:cs="Times"/>
        </w:rPr>
        <w:softHyphen/>
      </w:r>
      <w:r w:rsidRPr="00FB35F7">
        <w:rPr>
          <w:rFonts w:ascii="Times New Roman" w:hAnsi="Times New Roman" w:cs="Times"/>
        </w:rPr>
        <w:t>me rituel, loin qu'elle pût aider à le comprendre. Smith croyait, en effet, apercevoir dans la notion même d'oblation une absurdité trop révoltante pour qu'il fût possible d'y voir la raison profonde d'une aussi grande institution. Une des fonctions les plus importantes qui incombent à la divinité est d'assurer aux hommes les aliments qui leur sont nécessaires pour vivre ; il paraît donc impossible que le sacrifice, à son tour, consiste en une présentation d'aliments à la divinité. Il semble contradictoire que les dieux attendent de l'homme leur nourriture, quand c'est par eux qu'il est nourri. Comment auraient-ils besoin de son concours pour prélever leur juste part sur les choses qu'il reçoit de leur mains ? De ces considérations Smith concluait que l'idée du sacrifice-offrande n'avait pu naître que dans les grandes religions, où les dieux, dégagés des choses avec lesquelles ils se confondaient primitivement, furent conçus comme des sortes de rois, propriétaires éminents de la terre et de ses produits. A partir de ce moment, le sacrifice fut assimilé au tribut que les sujets payent à leur prince, comme prix des droits qui leur sont concédés. Mais cette interprétation nouvelle aurait été, en réalité, une altération et même une corruption de la conception primitive. Car « l'idée de propriété matérialise tout ce qu'elle touche » ; en s'introduisant dans le sacrifice, elle le dénatura et en fit une sorte de marché entre l'homme et la divinité </w:t>
      </w:r>
      <w:r w:rsidRPr="00FB35F7">
        <w:rPr>
          <w:rStyle w:val="Rimandonotaapidipagina"/>
          <w:rFonts w:ascii="Times" w:hAnsi="Times New Roman" w:cs="Times"/>
        </w:rPr>
        <w:footnoteReference w:id="152"/>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les faits que nous avons exposés ruinent cette argumentation. Les rites que nous avons décrits comptent certainement parmi les plus primitifs qui aient jamais été observés. On n'y voit encore apparaître aucune personnalité mythique déterminée ; il n'y est question ni de dieux ni d'esprits proprement dits ; ils ne mettent en oeuvre que des forces vagues, anony</w:t>
      </w:r>
      <w:r w:rsidRPr="00FB35F7">
        <w:rPr>
          <w:rFonts w:ascii="Times" w:hAnsi="Times New Roman" w:cs="Times"/>
        </w:rPr>
        <w:softHyphen/>
      </w:r>
      <w:r w:rsidRPr="00FB35F7">
        <w:rPr>
          <w:rFonts w:ascii="Times New Roman" w:hAnsi="Times New Roman" w:cs="Times"/>
        </w:rPr>
        <w:t>mes et impersonnelles. Et cependant les raisonnements qu'ils supposent sont précisément ceux que Smith déclarait impossibles en raison de leur absurdité.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Reportons-nous, en effet, au premier acte de l'Intichiuma, aux rites qui sont destinés à assurer la fécondité de l'espèce animale ou végétale qui sert de totem au clan. Cette espèce est la chose sacrée par excellence ; c'est en elle que s'incarne essentiellement ce que nous avons pu appeler, par métaphore, la divinité totémique. Nous avons vu cependant que, pour se perpétuer, elle a besoin du concours de l'homme. C'est lui qui, chaque année, dispense la vie à la génération nouvelle; sans lui, elle ne verrait pas le jour. Qu'il cesse de célébrer l'Intichiuma et les êtres sacrés disparaîtront de la surface de la terre. C'est donc de lui, en un sens, qu'ils tiennent l'existence ; et pourtant, sous un autre rapport, c'est d'eux qu'il tient la sienne ; car, une fois qu'ils seront parvenus à la maturité, c'est à eux qu'il empruntera les forces nécessaires pour entretenir et réparer son être spirituel. Ainsi, c'est lui qui fait ses dieux, peut-on dire, ou, du moins, c'est lui qui les fait durer ; mais, en même temps, c'est par eux qu'il dure. Il commet donc régulière</w:t>
      </w:r>
      <w:r w:rsidRPr="00FB35F7">
        <w:rPr>
          <w:rFonts w:ascii="Times" w:hAnsi="Times New Roman" w:cs="Times"/>
        </w:rPr>
        <w:softHyphen/>
      </w:r>
      <w:r w:rsidRPr="00FB35F7">
        <w:rPr>
          <w:rFonts w:ascii="Times New Roman" w:hAnsi="Times New Roman" w:cs="Times"/>
        </w:rPr>
        <w:t>ment le cercle qui, suivant Smith, serait impliqué dans la notion même du tribut sacrificiel : il donne aux êtres sacrés un peu de ce qu'il reçoit d'eux et il reçoit d'eux tout ce qu'il leur donne.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y a plus : les oblations qu'il est ainsi tenu de faire annuellement ne diffèrent pas en nature de celles qui se feront plus tard dans les sacrifices proprement dits. Si le sacrifiant immole une bête, c'est pour que les principes vivants qui sont en elle se dégagent de l'organisme et s'en aillent alimenter la divinité. De même, les grains de poussière que l'Australien détache du rocher sacré sont autant de principes qu'il disperse dans l'espace pour qu'ils aillent animer l'espèce totémique et en assurer le renouvellement. Le geste par lequel se fait cette dispersion est aussi celui qui accompagne normalement les offrandes. Dans certains cas, la ressemblance entre les deux rites se retrouve jusque dans le détail des mouvements effectués. Nous avons vu que, pour avoir de la pluie, le Kaitish verse de l'eau sur une pierre sacrée ; chez certains peuples, le prêtre, dans le même but, verse de l'eau sur l'autel </w:t>
      </w:r>
      <w:r w:rsidRPr="00FB35F7">
        <w:rPr>
          <w:rStyle w:val="Rimandonotaapidipagina"/>
          <w:rFonts w:ascii="Times" w:hAnsi="Times New Roman" w:cs="Times"/>
        </w:rPr>
        <w:footnoteReference w:id="153"/>
      </w:r>
      <w:r w:rsidRPr="00FB35F7">
        <w:rPr>
          <w:rFonts w:ascii="Times New Roman" w:hAnsi="Times New Roman" w:cs="Times"/>
        </w:rPr>
        <w:t>. Les effusions de sang, qui sont usitées dans un certain nombre d'Intichiuma, constituent de véritables oblations. De même que l'Arunta ou le Dieri arrosent de sang le rocher sacré ou le dessin totémique, il arrive souvent, dans des cultes plus avancés, que le sang de la victime sacrifiée ou du fidèle lui-même est répandu soit devant soit sur l'autel </w:t>
      </w:r>
      <w:r w:rsidRPr="00FB35F7">
        <w:rPr>
          <w:rStyle w:val="Rimandonotaapidipagina"/>
          <w:rFonts w:ascii="Times" w:hAnsi="Times New Roman" w:cs="Times"/>
        </w:rPr>
        <w:footnoteReference w:id="154"/>
      </w:r>
      <w:r w:rsidRPr="00FB35F7">
        <w:rPr>
          <w:rFonts w:ascii="Times New Roman" w:hAnsi="Times New Roman" w:cs="Times"/>
        </w:rPr>
        <w:t>. Dans ce cas, il est donné aux dieux dont il est l'aliment préféré ; en Australie, il est donné à l'espèce sacrée. On n'est donc plus fondé à voir dans l'idée d'oblation un produit tardif de la civilisation.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 document que nous devons à Strehlow met bien en évidence cette parenté de l'Intichiuma et du sacrifice. C'est un chant qui accompagne l'Intichiuma du Kangourou ; la cérémonie y est décrite en même temps que sont exposés les effets qui en sont attendus. Un morceau de la graisse du kangourou a été déposé par le chef sur un support fait de branchages. Or, le texte dit que cette graisse fait croître la graisse des kangourous </w:t>
      </w:r>
      <w:r w:rsidRPr="00FB35F7">
        <w:rPr>
          <w:rStyle w:val="Rimandonotaapidipagina"/>
          <w:rFonts w:ascii="Times" w:hAnsi="Times New Roman" w:cs="Times"/>
        </w:rPr>
        <w:footnoteReference w:id="155"/>
      </w:r>
      <w:r w:rsidRPr="00FB35F7">
        <w:rPr>
          <w:rFonts w:ascii="Times New Roman" w:hAnsi="Times New Roman" w:cs="Times"/>
        </w:rPr>
        <w:t>. Cette fois, on ne se borne donc pas à répandre de la poussière sacrée ou du sang humain ; l'animal lui-même est immolé, sacrifié, peut-on dire, déposé sur une sorte d'autel et offert à l'espèce dont il doit entretenir la vie.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voit maintenant en quel sens il est permis de dire de l'Intichiuma qu'il contient les germes du système sacrificiel. Sous la forme qu'il présente quand il est pleinement constitué, le sacrifice se compose de deux éléments essentiels : un acte de communion et un acte d'obla</w:t>
      </w:r>
      <w:r w:rsidRPr="00FB35F7">
        <w:rPr>
          <w:rFonts w:ascii="Times" w:hAnsi="Times New Roman" w:cs="Times"/>
        </w:rPr>
        <w:softHyphen/>
      </w:r>
      <w:r w:rsidRPr="00FB35F7">
        <w:rPr>
          <w:rFonts w:ascii="Times New Roman" w:hAnsi="Times New Roman" w:cs="Times"/>
        </w:rPr>
        <w:t>tion. Le fidèle communie avec son dieu en ingérant un aliment sacré, et, en même temps, il fait à ce dieu une offrande. Nous retrouvons ces deux actes dans l'Intichiuma, tel qu'il vient d'être décrit. Toute la différence, c'est que, dans le sacrifice proprement dit </w:t>
      </w:r>
      <w:r w:rsidRPr="00FB35F7">
        <w:rPr>
          <w:rStyle w:val="Rimandonotaapidipagina"/>
          <w:rFonts w:ascii="Times" w:hAnsi="Times New Roman" w:cs="Times"/>
        </w:rPr>
        <w:footnoteReference w:id="156"/>
      </w:r>
      <w:r w:rsidRPr="00FB35F7">
        <w:rPr>
          <w:rFonts w:ascii="Times New Roman" w:hAnsi="Times New Roman" w:cs="Times"/>
        </w:rPr>
        <w:t>, ils se font simultanément ou se suivent immédiatement, tandis que, dans la cérémonie austra</w:t>
      </w:r>
      <w:r w:rsidRPr="00FB35F7">
        <w:rPr>
          <w:rFonts w:ascii="Times" w:hAnsi="Times New Roman" w:cs="Times"/>
        </w:rPr>
        <w:softHyphen/>
      </w:r>
      <w:r w:rsidRPr="00FB35F7">
        <w:rPr>
          <w:rFonts w:ascii="Times New Roman" w:hAnsi="Times New Roman" w:cs="Times"/>
        </w:rPr>
        <w:t>lienne, ils sont disjoints. Là, ce sont les parties d'un même rite indivis; ici, ils ont lieu en des temps différents et peuvent même être séparés par un assez long intervalle. Mais le mécanisme est, au fond, le même. L'Intichiuma, pris dans son ensemble, c'est le sacrifice, mais dont les membres ne sont pas encore articulés et organisés.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 rapprochement a le double avantage de nous faire mieux comprendre la nature de l'Intichiuma et celle du sacrifice.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comprenons mieux l'Intichiuma. En effet, la conception de Frazer qui en faisait une simple opération magique, dénuée de tout caractère religieux </w:t>
      </w:r>
      <w:r w:rsidRPr="00FB35F7">
        <w:rPr>
          <w:rStyle w:val="Rimandonotaapidipagina"/>
          <w:rFonts w:ascii="Times" w:hAnsi="Times New Roman" w:cs="Times"/>
        </w:rPr>
        <w:footnoteReference w:id="157"/>
      </w:r>
      <w:r w:rsidRPr="00FB35F7">
        <w:rPr>
          <w:rFonts w:ascii="Times New Roman" w:hAnsi="Times New Roman" w:cs="Times"/>
        </w:rPr>
        <w:t>, apparaît maintenant comme insoutenable. On ne peut songer à mettre hors de la religion un rite qui est comme le prodrome d'une aussi grande institution religieuse.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nous comprenons mieux aussi ce qu'est le sacrifice lui-même. Tout d'abord, l'égale importance des deux éléments qui y entrent est désormais établie. Si l'Australien fait des offrandes à ses êtres sacrés, toute raison manque de supposer que l'idée d'oblation était étran</w:t>
      </w:r>
      <w:r w:rsidRPr="00FB35F7">
        <w:rPr>
          <w:rFonts w:ascii="Times" w:hAnsi="Times New Roman" w:cs="Times"/>
        </w:rPr>
        <w:softHyphen/>
      </w:r>
      <w:r w:rsidRPr="00FB35F7">
        <w:rPr>
          <w:rFonts w:ascii="Times New Roman" w:hAnsi="Times New Roman" w:cs="Times"/>
        </w:rPr>
        <w:t>gère à l'organisation primitive de l'institution sacrificielle et en troublait l'économie naturelle. La théorie de Smith est à réviser sur ce point </w:t>
      </w:r>
      <w:r w:rsidRPr="00FB35F7">
        <w:rPr>
          <w:rStyle w:val="Rimandonotaapidipagina"/>
          <w:rFonts w:ascii="Times" w:hAnsi="Times New Roman" w:cs="Times"/>
        </w:rPr>
        <w:footnoteReference w:id="158"/>
      </w:r>
      <w:r w:rsidRPr="00FB35F7">
        <w:rPr>
          <w:rFonts w:ascii="Times New Roman" w:hAnsi="Times New Roman" w:cs="Times"/>
        </w:rPr>
        <w:t>. Sans doute, le sacrifice, est, en partie, un procé</w:t>
      </w:r>
      <w:r w:rsidRPr="00FB35F7">
        <w:rPr>
          <w:rFonts w:ascii="Times" w:hAnsi="Times New Roman" w:cs="Times"/>
        </w:rPr>
        <w:softHyphen/>
      </w:r>
      <w:r w:rsidRPr="00FB35F7">
        <w:rPr>
          <w:rFonts w:ascii="Times New Roman" w:hAnsi="Times New Roman" w:cs="Times"/>
        </w:rPr>
        <w:t>dé de communion ; mais c'est aussi, et non moins essentiellement, un don, un acte de renoncement. Il suppose toujours que le fidèle abandonne aux dieux quelque chose de sa substance ou de ses biens. Toute tentative pour ramener un de ces éléments à l'autre est vaine. Peut-être même l'oblation est-elle plus permanente que la communion </w:t>
      </w:r>
      <w:r w:rsidRPr="00FB35F7">
        <w:rPr>
          <w:rStyle w:val="Rimandonotaapidipagina"/>
          <w:rFonts w:ascii="Times" w:hAnsi="Times New Roman" w:cs="Times"/>
        </w:rPr>
        <w:footnoteReference w:id="159"/>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second lieu, il semble généralement que le sacrifice, et surtout que l'oblation sacrifi</w:t>
      </w:r>
      <w:r w:rsidRPr="00FB35F7">
        <w:rPr>
          <w:rFonts w:ascii="Times" w:hAnsi="Times New Roman" w:cs="Times"/>
        </w:rPr>
        <w:softHyphen/>
      </w:r>
      <w:r w:rsidRPr="00FB35F7">
        <w:rPr>
          <w:rFonts w:ascii="Times New Roman" w:hAnsi="Times New Roman" w:cs="Times"/>
        </w:rPr>
        <w:t>cielle, ne peut s'adresser qu'à des êtres personnels. Or, les oblations que nous venons de rencontrer en Australie n'impliquent aucune notion de ce genre. C'est dire que le sacrifice est indépendant des formes variables sous lesquelles sont pensées les forces religieuses ; il tient à des raisons plus profondes que nous aurons à rechercher plus loin.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Toutefois, il est clair que l'acte d'offrir éveille naturellement dans les esprits l'idée d'un sujet moral que cette offrande est destinée à satisfaire. Les gestes rituels que nous avons décrits deviennent plus facilement intelligibles, quand on croit qu'ils s'adressent à des person</w:t>
      </w:r>
      <w:r w:rsidRPr="00FB35F7">
        <w:rPr>
          <w:rFonts w:ascii="Times" w:hAnsi="Times New Roman" w:cs="Times"/>
        </w:rPr>
        <w:softHyphen/>
      </w:r>
      <w:r w:rsidRPr="00FB35F7">
        <w:rPr>
          <w:rFonts w:ascii="Times New Roman" w:hAnsi="Times New Roman" w:cs="Times"/>
        </w:rPr>
        <w:t>nes. Les pratiques de l'Intichiuma, tout en ne mettant en oeuvre que des puissances imper</w:t>
      </w:r>
      <w:r w:rsidRPr="00FB35F7">
        <w:rPr>
          <w:rFonts w:ascii="Times" w:hAnsi="Times New Roman" w:cs="Times"/>
        </w:rPr>
        <w:softHyphen/>
      </w:r>
      <w:r w:rsidRPr="00FB35F7">
        <w:rPr>
          <w:rFonts w:ascii="Times New Roman" w:hAnsi="Times New Roman" w:cs="Times"/>
        </w:rPr>
        <w:t>son</w:t>
      </w:r>
      <w:r w:rsidRPr="00FB35F7">
        <w:rPr>
          <w:rFonts w:ascii="Times" w:hAnsi="Times New Roman" w:cs="Times"/>
        </w:rPr>
        <w:softHyphen/>
      </w:r>
      <w:r w:rsidRPr="00FB35F7">
        <w:rPr>
          <w:rFonts w:ascii="Times New Roman" w:hAnsi="Times New Roman" w:cs="Times"/>
        </w:rPr>
        <w:t>nelles, frayaient donc la voie à une conception différente </w:t>
      </w:r>
      <w:r w:rsidRPr="00FB35F7">
        <w:rPr>
          <w:rStyle w:val="Rimandonotaapidipagina"/>
          <w:rFonts w:ascii="Times" w:hAnsi="Times New Roman" w:cs="Times"/>
        </w:rPr>
        <w:footnoteReference w:id="160"/>
      </w:r>
      <w:r w:rsidRPr="00FB35F7">
        <w:rPr>
          <w:rFonts w:ascii="Times New Roman" w:hAnsi="Times New Roman" w:cs="Times"/>
        </w:rPr>
        <w:t>. Assurément, elles n'eussent pas suffi à susciter de toutes pièces l'idée de personnalités mythiques. Mais une fois que cette idée fut formée, elle fut amenée, par la nature même de ces rites, à pénétrer dans le culte ; dans la même mesure, elle devint moins spéculative ; mêlée plus directement à l'action et à la vie, elle prit, du même coup, plus de réalité. On peut donc croire que la pratique du culte favorisa, d'une manière secondaire sans doute, mais qui pourtant mérite d'être notée, la personnification des forces religieuses.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15" w:name="livre_3_chap_2_5"/>
      <w:r w:rsidRPr="00FB35F7">
        <w:rPr>
          <w:rFonts w:ascii="Times New Roman" w:hAnsi="Times New Roman"/>
        </w:rPr>
        <w:t>V</w:t>
      </w:r>
    </w:p>
    <w:bookmarkEnd w:id="15"/>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il reste à expliquer la contradiction dans laquelle R. Smith voyait un inadmissible scandale logique.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Si les êtres sacrés manifestaient toujours leurs pouvoirs d'une manière parfaitement égale, il apparaîtrait, en effet, comme inconcevable que l'homme ait pu songer à leur offrir ses services ; car on ne voit pas quel besoin ils en pouvaient avoir. Mais tout d'abord, tant qu'ils se confondent avec les choses, tant qu'on voit en eux les principes de la vie cosmique, ils sont soumis eux-mêmes au rythme de cette vie. Or, elle passe par des oscillations en sens contrai</w:t>
      </w:r>
      <w:r w:rsidRPr="00FB35F7">
        <w:rPr>
          <w:rFonts w:ascii="Times" w:hAnsi="Times New Roman" w:cs="Times"/>
        </w:rPr>
        <w:softHyphen/>
      </w:r>
      <w:r w:rsidRPr="00FB35F7">
        <w:rPr>
          <w:rFonts w:ascii="Times New Roman" w:hAnsi="Times New Roman" w:cs="Times"/>
        </w:rPr>
        <w:t>res et qui se succèdent suivant une loi déterminée. Tantôt, elle s'affirme dans tout son éclat ; tantôt elle faiblit au point qu'on peut se demander si elle ne va pas s'arrêter. Tous les ans, les plantes meurent ; renaîtront-elles ? Les espèces animales tendent à s'éteindre par l'effet de la mort naturelle ou violente ; se renouvelleront-elles à temps et comme il convient ? La pluie surtout est capricieuse; il y a de longs moments pendant lesquels elle paraît avoir disparu sans retour. Ce dont témoignent ces fléchissements périodiques de la nature, c'est que, aux époques correspondantes, les êtres sacrés dont dépendent les animaux, les plantes, la pluie, etc., passent par les mêmes états critiques ; ils ont donc, eux aussi, leurs périodes de défaillance. Mais l'homme ne saurait assister à ces spectacles en témoin indifférent. Pour qu'il vive, il faut que la vie universelle continue, et par conséquent, que les dieux ne meurent pas. Il cherche donc à les soutenir, à les aider ; pour cela, il met à leur service les forces dont il dispose et qu'il mobilise pour la circonstance. Le sang qui coule dans ses veines a des vertus fécondantes : il le répandra. Dans les rochers sacrés que possède son clan, il ira puiser les germes de vie qui y sommeillent et il les sèmera dans l'espace. En un mot, il fera des oblations.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 crises externes et physiques se doublent, en outre, de crises internes et mentales qui tendent au même résultat. Les êtres sacrés ne sont que parce qu'ils sont représentés comme tels dans les esprits. Que nous cessions d'y croire, et ils seront comme s'ils n'étaient pas. Même ceux qui ont une forme matérielle et qui sont donnés dans l'expérience sensible dépendent, sous ce rapport, de la pensée des fidèles qui les adorent ; car le caractère sacré qui en fait des objets de culte n'est pas donné dans leur constitution naturelle ; il leur est surajouté par la croyance. Le kangourou n'est qu'un animal comme les autres ; mais, pour les gens du Kangourou, il contient en soi un principe qui le met à part au milieu des autres êtres, et ce principe n'existe que dans les esprits qui le pensent </w:t>
      </w:r>
      <w:r w:rsidRPr="00FB35F7">
        <w:rPr>
          <w:rStyle w:val="Rimandonotaapidipagina"/>
          <w:rFonts w:ascii="Times" w:hAnsi="Times New Roman" w:cs="Times"/>
        </w:rPr>
        <w:footnoteReference w:id="161"/>
      </w:r>
      <w:r w:rsidRPr="00FB35F7">
        <w:rPr>
          <w:rFonts w:ascii="Times New Roman" w:hAnsi="Times New Roman" w:cs="Times"/>
        </w:rPr>
        <w:t>. Pour que les êtres sacrés, une fois conçus, n'eussent pas besoin des hommes pour durer, il faudrait donc que les représentations qui les expriment, restassent toujours égales à elles-mêmes. Mais cette stabilité est impossi</w:t>
      </w:r>
      <w:r w:rsidRPr="00FB35F7">
        <w:rPr>
          <w:rFonts w:ascii="Times" w:hAnsi="Times New Roman" w:cs="Times"/>
        </w:rPr>
        <w:softHyphen/>
      </w:r>
      <w:r w:rsidRPr="00FB35F7">
        <w:rPr>
          <w:rFonts w:ascii="Times New Roman" w:hAnsi="Times New Roman" w:cs="Times"/>
        </w:rPr>
        <w:t>ble. En effet, c'est dans la vie en groupe qu'elles se forment, et la vie en groupe est essentiel</w:t>
      </w:r>
      <w:r w:rsidRPr="00FB35F7">
        <w:rPr>
          <w:rFonts w:ascii="Times" w:hAnsi="Times New Roman" w:cs="Times"/>
        </w:rPr>
        <w:softHyphen/>
      </w:r>
      <w:r w:rsidRPr="00FB35F7">
        <w:rPr>
          <w:rFonts w:ascii="Times New Roman" w:hAnsi="Times New Roman" w:cs="Times"/>
        </w:rPr>
        <w:t>le</w:t>
      </w:r>
      <w:r w:rsidRPr="00FB35F7">
        <w:rPr>
          <w:rFonts w:ascii="Times" w:hAnsi="Times New Roman" w:cs="Times"/>
        </w:rPr>
        <w:softHyphen/>
      </w:r>
      <w:r w:rsidRPr="00FB35F7">
        <w:rPr>
          <w:rFonts w:ascii="Times New Roman" w:hAnsi="Times New Roman" w:cs="Times"/>
        </w:rPr>
        <w:t>ment intermit</w:t>
      </w:r>
      <w:r w:rsidRPr="00FB35F7">
        <w:rPr>
          <w:rFonts w:ascii="Times" w:hAnsi="Times New Roman" w:cs="Times"/>
        </w:rPr>
        <w:softHyphen/>
      </w:r>
      <w:r w:rsidRPr="00FB35F7">
        <w:rPr>
          <w:rFonts w:ascii="Times New Roman" w:hAnsi="Times New Roman" w:cs="Times"/>
        </w:rPr>
        <w:t xml:space="preserve">tente. Elles participent donc nécessairement de la même intermittence. Elles atteignent leur maximum d'intensité au moment où les individus sont assemblés et en rapports immédiats les uns avec les autres, où ils communient tous dans une même idée ou un même sentiment. Mais une fois que l'assemblée est dissoute et que chacun a repris son existence propre, elles perdent progressivement de leur énergie première. Peu à peu recouvertes par le flot montant des sensations journalières, elles finiraient par s'enfoncer dans l'inconscient, si nous ne trouvions quelque moyen de les rappeler à la conscience et de les revivifier. Or elles ne peuvent s'affaiblir sans que les êtres sacrés perdent de leur réalité, puisqu'ils n'existent qu'en elles et par elles. Si nous les pensons moins fortement ils comptent moins pour nous et nous comptons moins avec eux; ils sont à un moindre degré. Voilà donc encore un point de vue par </w:t>
      </w:r>
      <w:r w:rsidRPr="00FB35F7">
        <w:rPr>
          <w:rFonts w:ascii="Times New Roman" w:hAnsi="Times New Roman" w:cs="Times"/>
          <w:i/>
          <w:iCs/>
        </w:rPr>
        <w:t xml:space="preserve">oh </w:t>
      </w:r>
      <w:r w:rsidRPr="00FB35F7">
        <w:rPr>
          <w:rFonts w:ascii="Times New Roman" w:hAnsi="Times New Roman" w:cs="Times"/>
        </w:rPr>
        <w:t>les services des hommes leur sont nécessaires. Cette seconde raison de les assister est même plus importante que la première ; car elle est de tous les temps. Les intermittences de la vie physique n'affectent les croyances religieuses que quand les religions ne sont pas encore détachées de leur vase cosmique. Les intermittences de la vie sociale sont, au contraire, inévitables ; mais les religions les plus idéalistes ne sauraient y échapper.</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d'ailleurs, grâce à cet état de dépendance où</w:t>
      </w:r>
      <w:r w:rsidRPr="00FB35F7">
        <w:rPr>
          <w:rFonts w:ascii="Times New Roman" w:hAnsi="Times New Roman" w:cs="Times"/>
          <w:i/>
          <w:iCs/>
        </w:rPr>
        <w:t xml:space="preserve"> </w:t>
      </w:r>
      <w:r w:rsidRPr="00FB35F7">
        <w:rPr>
          <w:rFonts w:ascii="Times New Roman" w:hAnsi="Times New Roman" w:cs="Times"/>
        </w:rPr>
        <w:t>sont les dieux par rapport à la pensée de l'homme que celui-ci peut croire son assistance efficace. La seule façon de rajeunir les représentations collectives qui se rapportent aux êtres sacrés est de les retremper à la source même de la vie religieuse, c'est-à-dire dans les groupes assemblés. Or, les émotions que suscitent les crises périodiques par lesquelles passent les choses extérieures déterminent les hommes qui en sont les témoins à se réunir, afin de pouvoir aviser à ce qu'il convient de faire Mais par cela seul qu'ils sont assemblés, ils se réconfortent mutuellement ; ils trouvent le remède parce qu'ils le cherchent ensemble. La foi commune se ranime tout naturellement au sein de la collectivité reconstituée ; elle renaît, parce qu'elle se retrouve dans les conditions mêmes où elle était née primitivement. Une fois restaurée, elle triomphe sans peine de tous les doutes privés qui avaient pu se faire jour dans les esprits. L'image des choses sacrées reprend assez de force pour pouvoir résister aux causes internes on externes qui tendaient à l'affaiblir. En dépit de leurs défaillances apparentes, on ne peut plus croire que les dieux mourront puisqu'on les sent revivre au fond de soi-même. Les procédés employés pour les secourir, quelle qu'en soit la grossièreté, ne peuvent paraître vains puisque tout se passe comme s'ils agissaient effectivement. On est plus confiant parce qu'on se sent plus fort ; et l'on est réellement plus fort parce que des forces qui languissaient se sont réveillées dans les consciences.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Il faut donc se garder de croire avec Smith que le culte ait été exclusivement institué au bénéfice des hommes et que les dieux n'en aient que faire : ils n'en ont pas moins besoin que leurs fidèles. Sans doute, sans les dieux, les hommes ne pourraient vivre. Mais, d'un autre côté, les dieux mouraient si le culte ne leur était pas rendu. Celui-ci n'a donc pas uniquement pour objet de faire communier les sujets profanes avec les êtres sacrés, mais aussi d'entretenir ces derniers en vie, de les refaire et de les régénérer perpétuellement. Certes, ce ne sont pas les oblations matérielles qui, par leurs vertus propres, produisent cette réfection ; ce sont les états mentaux que ces manœuvres, vaines par elles-mêmes, réveillent ou accompagnent. La raison d'être véritable des cultes, même les plus matérialistes en apparence, ne doit pas être recherchée dans les gestes qu'ils prescrivent, mais dans le renouvellement intérieur et moral que ces gestes contribuent à déterminer. Ce que le fidèle donne réellement à son dieu, ce ne sont pas les aliments qu'il dépose sur l'autel, ni le sang qu'il fait couler de ses veines : c'est sa pensée. Il n'en reste pas moins qu'entre la divinité et ses adorateurs il y a un échange de bons offices qui se conditionnent mutuellement. La règle </w:t>
      </w:r>
      <w:r w:rsidRPr="00FB35F7">
        <w:rPr>
          <w:rFonts w:ascii="Times New Roman" w:hAnsi="Times New Roman" w:cs="Times"/>
          <w:i/>
          <w:iCs/>
        </w:rPr>
        <w:t xml:space="preserve">do ut des, </w:t>
      </w:r>
      <w:r w:rsidRPr="00FB35F7">
        <w:rPr>
          <w:rFonts w:ascii="Times New Roman" w:hAnsi="Times New Roman" w:cs="Times"/>
        </w:rPr>
        <w:t>par laquelle on a parfois défini le principe du sacrifice, n'est pas une invention tardive de théoriciens utilitaires : elle ne fait que traduire, d'une manière explicite, le mécanisme même du système sacrificiel et, plus généralement, de tout le culte positif. Le cercle signalé par Smith est donc bien réel; mais il n'a rien d'humiliant pour la raison. Il vient de ce que les êtres sacrés, tout en étant supérieurs aux hommes, ne peuvent vivre que dans des consciences humaines.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ce cercle nous apparaîtra comme le plus naturel encore et nous en comprendrons mieux le sens et la raison d'être, si, poussant l'analyse plus loin et substituant aux symboles religieux les réalités qu'ils expriment, nous cherchons comment celles-ci se comportent dans le rite. Si, comme nous avons essayé de l'établir, le principe sacré n'est autre chose que la société hypostasiée et transfigurée, la vie rituelle doit pouvoir s'interpréter en termes laïcs et sociaux. Et en effet, tout comme cette dernière, la vie sociale se meut dans un cercle. D'une part, l'individu tient de la société le meilleur de soi-même, tout ce qui lui fait une physiono</w:t>
      </w:r>
      <w:r w:rsidRPr="00FB35F7">
        <w:rPr>
          <w:rFonts w:ascii="Times" w:hAnsi="Times New Roman" w:cs="Times"/>
        </w:rPr>
        <w:softHyphen/>
      </w:r>
      <w:r w:rsidRPr="00FB35F7">
        <w:rPr>
          <w:rFonts w:ascii="Times New Roman" w:hAnsi="Times New Roman" w:cs="Times"/>
        </w:rPr>
        <w:t>mie et une place à part parmi les autres êtres, sa culture intellectuelle et morale. Qu'on retire à l'homme le langage, les sciences, les arts, les croyances de la morale, et il tombe au rang de l'animalité. Les attributs caractéristiques de la nature humaine nous viennent donc de la société. Mais d'un autre côté, la société n'existe et ne vit que dans et par les individus. Que l'idée de la société s'éteigne dans les esprits individuels, que les croyances, les traditions, les aspirations de la collectivité cessent d'être senties et partagées par les particuliers, et la société mourra. On peut donc répéter d'elle ce qui était dit plus haut de la divinité : elle n'a de réalité que dans la mesure où elle tient de la place dans les consciences humaines, et cette place, c'est nous qui la lui faisons. Nous entrevoyons maintenant la raison profonde pour laquelle les dieux ne peuvent pas plus se passer de leurs fidèles que ceux-ci de leurs dieux ; c'est que la société, dont les dieux ne sont que l'expression symbolique, ne peut pas plus se passer des individus que ceux-ci de la société.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touchons ici au roc solide sur lequel sont édifiés tous les cultes et qui fait leur persistance depuis qu'il existe des sociétés humaines. Quand on voit de quoi sont faits les rites et à quoi ils paraissent tendre, on se demande avec étonnement comment les hommes ont pu en avoir l'idée et surtout comment ils y sont restés si fidèlement attachés. D'où peut leur être venue cette illusion qu'avec quelques grains de sable jetés au vent, quelques gouttes de sang répandues sur un rocher ou sur la pierre d'un autel, il était possible d'entretenir la vie d'une espèce animale ou d'un dieu ? Sans doute, nous avons fait déjà un pas en avant dans la solution de ce problème quand, sous ces mouvements extérieurs et, en apparence, déraisonnables, nous avons découvert un mécanisme mental qui leur donne un sens et une portée morale. Mais rien ne nous assure que ce mécanisme lui-même, ne consiste pas en un simple jeu d'images hallucinatoires. Nous avons bien montré quel processus psychologique détermine les fidèles à croire que le rite fait renaître autour d'eux les forces spirituelles dont ils ont besoin ; mais de ce que cette croyance est psychologiquement explicable, il ne suit pas qu'elle ait une valeur objective. Pour que nous soyons fondé à voir dans l'efficacité attribuée aux rites autre chose que le produit d'un délire chronique dont s'abuserait l'humanité, il faut pouvoir établir que le culte a réellement pour effet de recréer périodiquement un être moral dont nous dépendons comme il dépend de nous. Or cet être existe : c'est la société.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effet, pour peu que les cérémonies religieuses aient d'importance, elles mettent en mouvement la collectivité ; les groupes s'assemblent pour les célébrer. Leur premier effet est donc de rapprocher les individus, de multiplier entre eux les contacts et de les rendre plus intimes. Par cela même, le contenu des consciences change. Pendant les jours ordinaires, ce sont les préoccupations utilitaires et individuelles qui tiennent le plus de place dans les esprits. Chacun vaque de son côté à sa tâche personnelle ; il s'agit avant tout, pour la plupart des gens, de satisfaire aux exigences de la vie matérielle, et le principal mobile de l'activité économique a toujours été l'intérêt privé. Sans doute, les sentiments sociaux ne sauraient en être totalement absents. Nous restons en rapports avec nos semblables ; les habitudes, les idées, les tendances que l'éducation a imprimées en nous et qui président normalement à nos relations avec autrui continuent à faire sentir leur action. Mais elles sont constamment combattues et tenues en échec par les tendances antagonistes qu'éveillent et qu'entretiennent les nécessités de la lutte quotidienne. elles résistent plus ou moins heureusement selon leur énergie intrinsèque ; mais cette énergie n'est pas renouvelée. Elles vivent sur leur passé et, par suite, elles s'useraient avec le temps si rien ne venait leur rendre un peu de la force qu'elles perdent par ces conflits et ces frottements incessants. Quand les Australiens, disséminés par petits groupes, chassent ou pêchent, ils perdent de vue ce qui concerne leur clan ou leur tribu : ils ne pensent qu'à prendre le plus de gibier possible. Aux jours fériés, au contraire, ces préoccupations s'éclipsent obligatoirement ; essentiellement profanes, elles sont exclues des périodes sacrées. Ce qui occupe alors la pensée, ce sont les croyances communes, les traditions communes, les souvenirs des grands ancêtres, l'idéal collectif dont ils sont l'incarnation ; en un mot, ce sont des choses sociales. Même les intérêts matériels que les grandes cérémonies religieuses ont pour objet de satisfaire, sont d'ordre publie, partant social. La société tout entière est intéressée à ce que la récolte soit abondante, à ce que la pluie tombe à temps et sans excès, à ce que les animaux se reproduisent régulièrement. C'est donc elle qui est au premier plan dans les consciences ; c'est elle qui domine et dirige la conduite ; ce qui revient à dire qu'elle est alors plus vivante, plus agissante, et, par conséquent, plus réelle qu'en temps profane. Ainsi, les hommes ne s'abusent pas quand ils sentent à ce moment qu'il y a, en dehors d'eux, quelque chose qui renaît, des forces qui se raniment, une vie qui se réveille. Ce renouveau n'est nullement imaginaire, et les individus eux-mêmes en bénéficient. Car la parcelle d'être social que chacun porte en soi participe nécessairement de cette rénovation collective. L'âme individuelle se régénère, elle aussi, en se retrempant à la source même d'oh elle tient la vie ; par suite, elle se sent plus forte, plus maîtresse d'elle-même, moins dépendante des nécessités physiques.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sait que le culte positif tend naturellement à prendre des formes périodiques ; c'est un de ses caractères distinctifs. Sans doute, il y a des rites que l'homme célèbre occasionnelle</w:t>
      </w:r>
      <w:r w:rsidRPr="00FB35F7">
        <w:rPr>
          <w:rFonts w:ascii="Times" w:hAnsi="Times New Roman" w:cs="Times"/>
        </w:rPr>
        <w:softHyphen/>
      </w:r>
      <w:r w:rsidRPr="00FB35F7">
        <w:rPr>
          <w:rFonts w:ascii="Times New Roman" w:hAnsi="Times New Roman" w:cs="Times"/>
        </w:rPr>
        <w:t>ment, pour faire face à des situations passagères. Mais ces pratiques épisodiques ne jouent jamais qu'un rôle accessoire, et même, dans les religions que nous étudions spécialement dans ce livre, elles sont presque exceptionnelles. Ce qui constitue essentiellement le culte, c'est le cycle des fêtes qui reviennent régulièrement à des époques déterminées. Nous som</w:t>
      </w:r>
      <w:r w:rsidRPr="00FB35F7">
        <w:rPr>
          <w:rFonts w:ascii="Times" w:hAnsi="Times New Roman" w:cs="Times"/>
        </w:rPr>
        <w:softHyphen/>
      </w:r>
      <w:r w:rsidRPr="00FB35F7">
        <w:rPr>
          <w:rFonts w:ascii="Times New Roman" w:hAnsi="Times New Roman" w:cs="Times"/>
        </w:rPr>
        <w:t>mes maintenant en état de comprendre d'oh provient cette tendance à la périodicité ; le rythme auquel obéit la vie religieuse ne fait qu'exprimer le rythme de la vie sociale, et il en résulte. La société ne peut raviver le sentiment qu'elle a d'elle-même qu'à condition de s'assembler. Mais elle ne peut tenir perpétuellement ses assises. Les exigences de la vie ne lui permettent pas de rester indéfiniment à l'état de congrégation ; elle se disperse donc pour se rassembler à nouveau quand, de nouveau, elle en sent le besoin. C'est à ces alternances néces</w:t>
      </w:r>
      <w:r w:rsidRPr="00FB35F7">
        <w:rPr>
          <w:rFonts w:ascii="Times" w:hAnsi="Times New Roman" w:cs="Times"/>
        </w:rPr>
        <w:softHyphen/>
      </w:r>
      <w:r w:rsidRPr="00FB35F7">
        <w:rPr>
          <w:rFonts w:ascii="Times New Roman" w:hAnsi="Times New Roman" w:cs="Times"/>
        </w:rPr>
        <w:t>saires que répond l'alternance régulière des temps sacrés et des temps profanes. Comme, à l'origine, le culte a pour objet, au moins apparent, de régulariser le cours des phénomènes naturels, le rythme de la vie cosmique a mis sa marque sur le rythme de la vie rituelle. C'est pourquoi les fêtes, pendant longtemps, ont été saisonnières ; nous avons vu que tel était déjà le caractère de l'Intichiuma australien. Mais les saisons n'ont fourni que le cadre extérieur de cette organisation, non le principe sur lequel elle repose ; car même les cultes qui visent des fins exclusivement spirituelles sont restés périodiques. C'est donc que cette péridiocité tient à d'autres causes. Comme les changements saisonniers sont, pour la nature, des époques critiques, ils sont une occasion naturelle de rassemblements et, par suite, de cérémonies religieuses. Mais d'autres événements pouvaient jouer et ont effectivement joué ce rôle de causes occasionnelles. Il faut reconnaître toutefois que ce cadre, quoique purement extérieur, a fait preuve d'une singulière force de résistance ; car on en trouve la trace jusque dans les religions qui sont le plus détachées de toute base physique. Plusieurs des fêtes chrétiennes se relient, sans solution de continuité, aux fêtes pastorales et agraires des anciens Hébreux, bien que, par elles-mêmes, elles n'aient plus rien d'agraire ni de pastoral.</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 rythme est, d'ailleurs, susceptible de varier de forme suivant les sociétés. Là où la période de dispersion est longue et où la dispersion est extrême, la période de congrégation est, à son tour, très prolongée, et il se produit alors de véritables débauches de vie collective et religieuse. Les fêtes succèdent aux fêtes pendant des semaines ou des mois et la vie rituelle atteint parfois une sorte de frénésie. C'est le cas des tribus australiennes et de plusieurs sociétés du nord et du nord-ouest américain </w:t>
      </w:r>
      <w:r w:rsidRPr="00FB35F7">
        <w:rPr>
          <w:rStyle w:val="Rimandonotaapidipagina"/>
          <w:rFonts w:ascii="Times" w:hAnsi="Times New Roman" w:cs="Times"/>
        </w:rPr>
        <w:footnoteReference w:id="162"/>
      </w:r>
      <w:r w:rsidRPr="00FB35F7">
        <w:rPr>
          <w:rFonts w:ascii="Times New Roman" w:hAnsi="Times New Roman" w:cs="Times"/>
        </w:rPr>
        <w:t>. Ailleurs, au contraire, ces deux phases de la vie sociale se succè</w:t>
      </w:r>
      <w:r w:rsidRPr="00FB35F7">
        <w:rPr>
          <w:rFonts w:ascii="Times" w:hAnsi="Times New Roman" w:cs="Times"/>
        </w:rPr>
        <w:softHyphen/>
      </w:r>
      <w:r w:rsidRPr="00FB35F7">
        <w:rPr>
          <w:rFonts w:ascii="Times New Roman" w:hAnsi="Times New Roman" w:cs="Times"/>
        </w:rPr>
        <w:t>dent à intervalles plus rapprochés et le contraste entre elles est alors moins tranché. Plus les sociétés se développent, moins elles semblent s'accommoder d'intermittences trop accentuées.</w:t>
      </w: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Titreniveau1"/>
        <w:rPr>
          <w:rFonts w:ascii="Times New Roman" w:hAnsi="Times New Roman"/>
        </w:rPr>
      </w:pPr>
      <w:bookmarkStart w:id="16" w:name="livre_3_chap_3"/>
      <w:r w:rsidRPr="00FB35F7">
        <w:rPr>
          <w:rFonts w:ascii="Times New Roman" w:hAnsi="Times New Roman"/>
        </w:rPr>
        <w:t>CHAPITRE III</w:t>
      </w:r>
    </w:p>
    <w:p w:rsidR="003F2F8E" w:rsidRPr="00FB35F7" w:rsidRDefault="003F2F8E">
      <w:pPr>
        <w:jc w:val="both"/>
        <w:rPr>
          <w:rFonts w:ascii="Times New Roman" w:hAnsi="Times New Roman" w:cs="Times"/>
        </w:rPr>
      </w:pPr>
    </w:p>
    <w:p w:rsidR="003F2F8E" w:rsidRPr="00FB35F7" w:rsidRDefault="003F2F8E">
      <w:pPr>
        <w:pStyle w:val="Titreniveau2"/>
        <w:rPr>
          <w:rFonts w:ascii="Times New Roman" w:hAnsi="Times New Roman"/>
        </w:rPr>
      </w:pPr>
      <w:r w:rsidRPr="00FB35F7">
        <w:rPr>
          <w:rFonts w:ascii="Times New Roman" w:hAnsi="Times New Roman"/>
        </w:rPr>
        <w:t>LE CULTE POSITIF</w:t>
      </w:r>
    </w:p>
    <w:bookmarkEnd w:id="16"/>
    <w:p w:rsidR="003F2F8E" w:rsidRPr="00FB35F7" w:rsidRDefault="003F2F8E">
      <w:pPr>
        <w:pStyle w:val="suite"/>
        <w:rPr>
          <w:rFonts w:ascii="Times New Roman" w:hAnsi="Times New Roman"/>
        </w:rPr>
      </w:pPr>
    </w:p>
    <w:p w:rsidR="003F2F8E" w:rsidRPr="00FB35F7" w:rsidRDefault="003F2F8E">
      <w:pPr>
        <w:pStyle w:val="suite"/>
        <w:rPr>
          <w:rFonts w:ascii="Times New Roman" w:hAnsi="Times New Roman"/>
        </w:rPr>
      </w:pPr>
      <w:r w:rsidRPr="00FB35F7">
        <w:rPr>
          <w:rFonts w:ascii="Times New Roman" w:hAnsi="Times New Roman"/>
        </w:rPr>
        <w:t>(Suite)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Niveau10"/>
        <w:rPr>
          <w:rFonts w:ascii="Times New Roman" w:hAnsi="Times New Roman"/>
        </w:rPr>
      </w:pPr>
      <w:bookmarkStart w:id="17" w:name="livre_3_chap_3_rites"/>
      <w:r w:rsidRPr="00FB35F7">
        <w:rPr>
          <w:rFonts w:ascii="Times New Roman" w:hAnsi="Times New Roman"/>
        </w:rPr>
        <w:t>II. - Les rites mimétiques et le principe</w:t>
      </w:r>
      <w:r w:rsidRPr="00FB35F7">
        <w:rPr>
          <w:rFonts w:hAnsi="Times New Roman"/>
        </w:rPr>
        <w:br/>
      </w:r>
      <w:r w:rsidRPr="00FB35F7">
        <w:rPr>
          <w:rFonts w:ascii="Times New Roman" w:hAnsi="Times New Roman"/>
        </w:rPr>
        <w:t>de causalité</w:t>
      </w:r>
    </w:p>
    <w:bookmarkEnd w:id="17"/>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les procédés dont il vient d'être question ne sont pas les seuls qui soient employés pour assurer la fécondité de l'espèce totémique. Il en est d'autres qui servent au même but, soit qu'ils accompagnent les précédents soit qu'ils les remplacent.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18" w:name="livre_3_chap_3_1"/>
      <w:r w:rsidRPr="00FB35F7">
        <w:rPr>
          <w:rFonts w:ascii="Times New Roman" w:hAnsi="Times New Roman"/>
        </w:rPr>
        <w:t>I</w:t>
      </w:r>
    </w:p>
    <w:bookmarkEnd w:id="18"/>
    <w:p w:rsidR="003F2F8E" w:rsidRPr="00FB35F7" w:rsidRDefault="003F2F8E">
      <w:pPr>
        <w:jc w:val="both"/>
        <w:rPr>
          <w:rFonts w:ascii="Times New Roman" w:hAnsi="Times New Roman" w:cs="Times"/>
          <w:sz w:val="20"/>
          <w:szCs w:val="20"/>
          <w:effect w:val="none"/>
        </w:rPr>
      </w:pPr>
    </w:p>
    <w:p w:rsidR="003F2F8E" w:rsidRPr="00FB35F7" w:rsidRDefault="003F2F8E">
      <w:pPr>
        <w:jc w:val="both"/>
        <w:rPr>
          <w:rFonts w:ascii="Times New Roman" w:hAnsi="Times New Roman" w:cs="Times"/>
          <w:i/>
          <w:iCs/>
        </w:rPr>
      </w:pPr>
      <w:r w:rsidRPr="00FB35F7">
        <w:rPr>
          <w:rFonts w:ascii="Times New Roman" w:hAnsi="Times New Roman" w:cs="Times"/>
        </w:rPr>
        <w:t xml:space="preserve">Dans les cérémonies mêmes que nous avons décrites, à côté des oblations, sanglantes ou autres, des rites différents sont souvent célébrés qui sont destinés à compléter les premiers et à en consolider les effets. Ils consistent en mouvements et en cris qui ont pour objet d'imiter, dans ses différentes attitudes ou sous ses différents aspects, l'animal dont on souhaite la reproduction; pour cette raison, nous les appelons </w:t>
      </w:r>
      <w:r w:rsidRPr="00FB35F7">
        <w:rPr>
          <w:rFonts w:ascii="Times New Roman" w:hAnsi="Times New Roman" w:cs="Times"/>
          <w:i/>
          <w:iCs/>
        </w:rPr>
        <w:t>mimétiques.</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 xml:space="preserve">Ainsi l'Intichiuma de la Chenille witchetty, chez les Arunta, ne comprend pas seulement les rites qui sont accomplis sur les rochers sacrés et dont nous avons précédemment parlé. Lorsqu'ils sont terminés, on se met en route pour retourner au camp ; mais quand on n'en est plus éloigné que d'un mille environ, on fait halte et tout le monde se décore rituellement; après quoi, la marche est reprise. Les décorations dont on s'est ainsi paré annoncent qu'une importante cérémonie va avoir lieu. Et, en effet, pendant que la troupe était absente, un des vieillards qui ont été laissés à la garde du camp, a construit un abri de branchages, long et étroit, appelé </w:t>
      </w:r>
      <w:r w:rsidRPr="00FB35F7">
        <w:rPr>
          <w:rFonts w:ascii="Times New Roman" w:hAnsi="Times New Roman" w:cs="Times"/>
          <w:i/>
          <w:iCs/>
        </w:rPr>
        <w:t xml:space="preserve">Umbana, </w:t>
      </w:r>
      <w:r w:rsidRPr="00FB35F7">
        <w:rPr>
          <w:rFonts w:ascii="Times New Roman" w:hAnsi="Times New Roman" w:cs="Times"/>
        </w:rPr>
        <w:t>et qui représente la chrysalide d'où émerge l'insecte. Tous ceux qui ont pris part aux cérémo</w:t>
      </w:r>
      <w:r w:rsidRPr="00FB35F7">
        <w:rPr>
          <w:rFonts w:ascii="Times" w:hAnsi="Times New Roman" w:cs="Times"/>
        </w:rPr>
        <w:softHyphen/>
      </w:r>
      <w:r w:rsidRPr="00FB35F7">
        <w:rPr>
          <w:rFonts w:ascii="Times New Roman" w:hAnsi="Times New Roman" w:cs="Times"/>
        </w:rPr>
        <w:t xml:space="preserve">nies antérieures s'assemblent près de l'endroit où cette construction a été élevée ; puis ils s'avancent lentement, s'arrêtant de temps en temps, jusqu'à ce qu'ils parviennent à </w:t>
      </w:r>
      <w:r w:rsidRPr="00FB35F7">
        <w:rPr>
          <w:rFonts w:ascii="Times New Roman" w:hAnsi="Times New Roman" w:cs="Times"/>
          <w:i/>
          <w:iCs/>
        </w:rPr>
        <w:t xml:space="preserve">l'Umbana, </w:t>
      </w:r>
      <w:r w:rsidRPr="00FB35F7">
        <w:rPr>
          <w:rFonts w:ascii="Times New Roman" w:hAnsi="Times New Roman" w:cs="Times"/>
        </w:rPr>
        <w:t>où ils pénètrent. Aussitôt, tous les gens qui ne sont pas de la phratrie à laquelle ressortit le totem de la Chenille witchetty, et qui assistent, mais de loin, à la scène, se couchent par terre, et face contre le sol ; ils doivent rester dans cette position, sans remuer, jusqu'à ce qu'il leur soit permis de se relever. Pendant ce temps, un chant s'élève de l'intérieur de l'Umbana,</w:t>
      </w:r>
      <w:r w:rsidRPr="00FB35F7">
        <w:rPr>
          <w:rFonts w:ascii="Times New Roman" w:hAnsi="Times New Roman" w:cs="Times"/>
          <w:i/>
          <w:iCs/>
        </w:rPr>
        <w:t xml:space="preserve"> </w:t>
      </w:r>
      <w:r w:rsidRPr="00FB35F7">
        <w:rPr>
          <w:rFonts w:ascii="Times New Roman" w:hAnsi="Times New Roman" w:cs="Times"/>
        </w:rPr>
        <w:t xml:space="preserve">qui raconte les différentes phases par lesquelles passe l'animal au cours de son développement et les mythes dont sont l'objet les rochers sacrés. Quand ce chant s'arrête, l'Alatunja, tout en restant accroupi, se glisse hors de </w:t>
      </w:r>
      <w:r w:rsidRPr="00FB35F7">
        <w:rPr>
          <w:rFonts w:ascii="Times New Roman" w:hAnsi="Times New Roman" w:cs="Times"/>
          <w:i/>
          <w:iCs/>
        </w:rPr>
        <w:t xml:space="preserve">l'Umbana </w:t>
      </w:r>
      <w:r w:rsidRPr="00FB35F7">
        <w:rPr>
          <w:rFonts w:ascii="Times New Roman" w:hAnsi="Times New Roman" w:cs="Times"/>
        </w:rPr>
        <w:t>et s'avance lentement sur le terrain qui s'étend par devant : il est suivi de tous ses compagnons qui reproduisent ses gestes dont l'objet est évidemment de figurer l'insecte quand il sort de sa chrysalide. D'ailleurs, un chant qui se fait entendre au même moment et qui est comme un commentaire oral du rite, consiste précisé</w:t>
      </w:r>
      <w:r w:rsidRPr="00FB35F7">
        <w:rPr>
          <w:rFonts w:ascii="Times" w:hAnsi="Times New Roman" w:cs="Times"/>
        </w:rPr>
        <w:softHyphen/>
      </w:r>
      <w:r w:rsidRPr="00FB35F7">
        <w:rPr>
          <w:rFonts w:ascii="Times New Roman" w:hAnsi="Times New Roman" w:cs="Times"/>
        </w:rPr>
        <w:t>ment en une description des mouvements que fait l'animal à ce stade de son développement </w:t>
      </w:r>
      <w:r w:rsidRPr="00FB35F7">
        <w:rPr>
          <w:rStyle w:val="Rimandonotaapidipagina"/>
          <w:rFonts w:ascii="Times" w:hAnsi="Times New Roman" w:cs="Times"/>
        </w:rPr>
        <w:footnoteReference w:id="16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 autre Intichiuma </w:t>
      </w:r>
      <w:r w:rsidRPr="00FB35F7">
        <w:rPr>
          <w:rStyle w:val="Rimandonotaapidipagina"/>
          <w:rFonts w:ascii="Times" w:hAnsi="Times New Roman" w:cs="Times"/>
        </w:rPr>
        <w:footnoteReference w:id="164"/>
      </w:r>
      <w:r w:rsidRPr="00FB35F7">
        <w:rPr>
          <w:rFonts w:ascii="Times New Roman" w:hAnsi="Times New Roman" w:cs="Times"/>
        </w:rPr>
        <w:t xml:space="preserve">, célébré à propos d'une autre sorte de chenille, la chenille </w:t>
      </w:r>
      <w:r w:rsidRPr="00FB35F7">
        <w:rPr>
          <w:rFonts w:ascii="Times New Roman" w:hAnsi="Times New Roman" w:cs="Times"/>
          <w:i/>
          <w:iCs/>
        </w:rPr>
        <w:t>unchalka</w:t>
      </w:r>
      <w:r w:rsidRPr="00FB35F7">
        <w:rPr>
          <w:rFonts w:ascii="Times New Roman" w:hAnsi="Times New Roman" w:cs="Times"/>
        </w:rPr>
        <w:t> </w:t>
      </w:r>
      <w:r w:rsidRPr="00FB35F7">
        <w:rPr>
          <w:rStyle w:val="Rimandonotaapidipagina"/>
          <w:rFonts w:ascii="Times" w:hAnsi="Times New Roman" w:cs="Times"/>
        </w:rPr>
        <w:footnoteReference w:id="165"/>
      </w:r>
      <w:r w:rsidRPr="00FB35F7">
        <w:rPr>
          <w:rFonts w:ascii="Times New Roman" w:hAnsi="Times New Roman" w:cs="Times"/>
          <w:i/>
          <w:iCs/>
        </w:rPr>
        <w:t xml:space="preserve">, </w:t>
      </w:r>
      <w:r w:rsidRPr="00FB35F7">
        <w:rPr>
          <w:rFonts w:ascii="Times New Roman" w:hAnsi="Times New Roman" w:cs="Times"/>
        </w:rPr>
        <w:t xml:space="preserve">a plus nettement encore ce caractère. Les acteurs du rite se décorent de dessins qui représentent le buisson </w:t>
      </w:r>
      <w:r w:rsidRPr="00FB35F7">
        <w:rPr>
          <w:rFonts w:ascii="Times New Roman" w:hAnsi="Times New Roman" w:cs="Times"/>
          <w:i/>
          <w:iCs/>
        </w:rPr>
        <w:t xml:space="preserve">unchalka </w:t>
      </w:r>
      <w:r w:rsidRPr="00FB35F7">
        <w:rPr>
          <w:rFonts w:ascii="Times New Roman" w:hAnsi="Times New Roman" w:cs="Times"/>
        </w:rPr>
        <w:t>sur lequel cette chenille vit au début de son existence; puis ils couvrent un bouclier de cercles concentriques de duvet qui figurent une autre sorte de buisson sur lequel l'insecte, une fois adulte, dépose ses œufs. Quand ces préparatifs sont terminés, tous s’assoient par terre de manière à former un demi-cercle qui fait face à l'officiant principal. Celui-ci, alternativement, courbe son corps en deux en l'inclinant vers le sol et se soulève sur les genoux ; en même temps, il agite ses bras étendus, ce qui est une manière de représenter les ailes de l'insecte. De temps en temps, il se penche par-dessus le bouclier, imitant la façon dont le papillon voltige au-dessus des arbres où il pose ses oeufs. Cette cérémonie achevée, une autre recommence à un endroit différent où l'on se rend en silence. Cette fois, on emploie deux boucliers. Sur l'un, sont représentées, par des lignes en zig-zag, les traces de la chenille ; sur l'autre, des cercles concentriques, de dimensions iné</w:t>
      </w:r>
      <w:r w:rsidRPr="00FB35F7">
        <w:rPr>
          <w:rFonts w:ascii="Times" w:hAnsi="Times New Roman" w:cs="Times"/>
        </w:rPr>
        <w:softHyphen/>
      </w:r>
      <w:r w:rsidRPr="00FB35F7">
        <w:rPr>
          <w:rFonts w:ascii="Times New Roman" w:hAnsi="Times New Roman" w:cs="Times"/>
        </w:rPr>
        <w:t>ga</w:t>
      </w:r>
      <w:r w:rsidRPr="00FB35F7">
        <w:rPr>
          <w:rFonts w:ascii="Times" w:hAnsi="Times New Roman" w:cs="Times"/>
        </w:rPr>
        <w:softHyphen/>
      </w:r>
      <w:r w:rsidRPr="00FB35F7">
        <w:rPr>
          <w:rFonts w:ascii="Times New Roman" w:hAnsi="Times New Roman" w:cs="Times"/>
        </w:rPr>
        <w:t>les, figurent, les uns les oeufs de l'insecte, les autres, les semences du buisson d'Eremophile sur lequel il se nourrit. Comme dans la première cérémonie, tout le monde s'asseoit en silence tandis que l'officiant s'agite, imitant les mouvements de l'animal quand il quitte sa chrysalide et qu'il s'efforce de prendre son vol.</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Spencer et GILLEN signalent encore, chez les Arunta, quelques faits analogues quoique de moindre importance : par exemple, dans l'Intichiuma de l'Émou, les acteurs, à un moment donné, cherchent à reproduire par leur attitude l'air et l'aspect de cet oiseau </w:t>
      </w:r>
      <w:r w:rsidRPr="00FB35F7">
        <w:rPr>
          <w:rStyle w:val="Rimandonotaapidipagina"/>
          <w:rFonts w:ascii="Times" w:hAnsi="Times New Roman" w:cs="Times"/>
        </w:rPr>
        <w:footnoteReference w:id="166"/>
      </w:r>
      <w:r w:rsidRPr="00FB35F7">
        <w:rPr>
          <w:rFonts w:ascii="Times New Roman" w:hAnsi="Times New Roman" w:cs="Times"/>
        </w:rPr>
        <w:t xml:space="preserve"> ; dans un Intichiuma de l'eau, les gens du totem font entendre le cri caractéristique du pluvier, cri qui est naturellement associé dans les esprits avec la saison des pluies </w:t>
      </w:r>
      <w:r w:rsidRPr="00FB35F7">
        <w:rPr>
          <w:rStyle w:val="Rimandonotaapidipagina"/>
          <w:rFonts w:ascii="Times" w:hAnsi="Times New Roman" w:cs="Times"/>
        </w:rPr>
        <w:footnoteReference w:id="167"/>
      </w:r>
      <w:r w:rsidRPr="00FB35F7">
        <w:rPr>
          <w:rFonts w:ascii="Times New Roman" w:hAnsi="Times New Roman" w:cs="Times"/>
        </w:rPr>
        <w:t>. Mais en somme, les cas de rites mimétiques qu'ont notés ces deux explorateurs sont assez peu nombreux. Seulement, il est certain que leur silence relatif sur ce point vient on de ce qu'ils n'ont pas observé suffisamment d'Intichiuma on de ce qu'ils ont négligé ce côté des cérémonies. Schulze, au contraire, avait été frappé du caractère essentiellement mimétique des rites arunta. « Les corrobbori sacrés, dit-il, sont, pour la plupart, des cérémonies repré</w:t>
      </w:r>
      <w:r w:rsidRPr="00FB35F7">
        <w:rPr>
          <w:rFonts w:ascii="Times" w:hAnsi="Times New Roman" w:cs="Times"/>
        </w:rPr>
        <w:softHyphen/>
      </w:r>
      <w:r w:rsidRPr="00FB35F7">
        <w:rPr>
          <w:rFonts w:ascii="Times New Roman" w:hAnsi="Times New Roman" w:cs="Times"/>
        </w:rPr>
        <w:t>sen</w:t>
      </w:r>
      <w:r w:rsidRPr="00FB35F7">
        <w:rPr>
          <w:rFonts w:ascii="Times" w:hAnsi="Times New Roman" w:cs="Times"/>
        </w:rPr>
        <w:softHyphen/>
      </w:r>
      <w:r w:rsidRPr="00FB35F7">
        <w:rPr>
          <w:rFonts w:ascii="Times New Roman" w:hAnsi="Times New Roman" w:cs="Times"/>
        </w:rPr>
        <w:t xml:space="preserve">tatives d'animaux » ; il les appelle des </w:t>
      </w:r>
      <w:r w:rsidRPr="00FB35F7">
        <w:rPr>
          <w:rFonts w:ascii="Times New Roman" w:hAnsi="Times New Roman" w:cs="Times"/>
          <w:i/>
          <w:iCs/>
        </w:rPr>
        <w:t>animal tjurunga</w:t>
      </w:r>
      <w:r w:rsidRPr="00FB35F7">
        <w:rPr>
          <w:rFonts w:ascii="Times New Roman" w:hAnsi="Times New Roman" w:cs="Times"/>
        </w:rPr>
        <w:t> </w:t>
      </w:r>
      <w:r w:rsidRPr="00FB35F7">
        <w:rPr>
          <w:rStyle w:val="Rimandonotaapidipagina"/>
          <w:rFonts w:ascii="Times" w:hAnsi="Times New Roman" w:cs="Times"/>
        </w:rPr>
        <w:footnoteReference w:id="168"/>
      </w:r>
      <w:r w:rsidRPr="00FB35F7">
        <w:rPr>
          <w:rFonts w:ascii="Times New Roman" w:hAnsi="Times New Roman" w:cs="Times"/>
          <w:i/>
          <w:iCs/>
        </w:rPr>
        <w:t xml:space="preserve"> </w:t>
      </w:r>
      <w:r w:rsidRPr="00FB35F7">
        <w:rPr>
          <w:rFonts w:ascii="Times New Roman" w:hAnsi="Times New Roman" w:cs="Times"/>
        </w:rPr>
        <w:t>et son témoignage est aujourd'hui confirmé par les docu</w:t>
      </w:r>
      <w:r w:rsidRPr="00FB35F7">
        <w:rPr>
          <w:rFonts w:ascii="Times" w:hAnsi="Times New Roman" w:cs="Times"/>
        </w:rPr>
        <w:softHyphen/>
      </w:r>
      <w:r w:rsidRPr="00FB35F7">
        <w:rPr>
          <w:rFonts w:ascii="Times New Roman" w:hAnsi="Times New Roman" w:cs="Times"/>
        </w:rPr>
        <w:t>ments qu'a réunis Strehlow. Chez ce dernier auteur, les exemples sont tellement nombreux qu'il est impossible de les citer tous : il n'y a guère de cérémonies où quelque geste imitatif ne nous soit signalé. Suivant la nature des totems dont on célèbre la fête, on saute à la manière des kangourous, on imite les mouvements qu'ils font en mangeant, le vol des fourmis ailées, le bruit caractéristique que fait la chauve-souris, le cri du dindon sauvage, celui de l'aigle, le sifflement du serpent, le coassement de la grenouille, etc. </w:t>
      </w:r>
      <w:r w:rsidRPr="00FB35F7">
        <w:rPr>
          <w:rStyle w:val="Rimandonotaapidipagina"/>
          <w:rFonts w:ascii="Times" w:hAnsi="Times New Roman" w:cs="Times"/>
        </w:rPr>
        <w:footnoteReference w:id="169"/>
      </w:r>
      <w:r w:rsidRPr="00FB35F7">
        <w:rPr>
          <w:rFonts w:ascii="Times New Roman" w:hAnsi="Times New Roman" w:cs="Times"/>
        </w:rPr>
        <w:t xml:space="preserve"> Quand le totem est une plante, on fait le geste d'en cueillir </w:t>
      </w:r>
      <w:r w:rsidRPr="00FB35F7">
        <w:rPr>
          <w:rStyle w:val="Rimandonotaapidipagina"/>
          <w:rFonts w:ascii="Times" w:hAnsi="Times New Roman" w:cs="Times"/>
        </w:rPr>
        <w:footnoteReference w:id="170"/>
      </w:r>
      <w:r w:rsidRPr="00FB35F7">
        <w:rPr>
          <w:rFonts w:ascii="Times New Roman" w:hAnsi="Times New Roman" w:cs="Times"/>
        </w:rPr>
        <w:t>, ou d'en manger </w:t>
      </w:r>
      <w:r w:rsidRPr="00FB35F7">
        <w:rPr>
          <w:rStyle w:val="Rimandonotaapidipagina"/>
          <w:rFonts w:ascii="Times" w:hAnsi="Times New Roman" w:cs="Times"/>
        </w:rPr>
        <w:footnoteReference w:id="171"/>
      </w:r>
      <w:r w:rsidRPr="00FB35F7">
        <w:rPr>
          <w:rFonts w:ascii="Times New Roman" w:hAnsi="Times New Roman" w:cs="Times"/>
        </w:rPr>
        <w:t>, etc.</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Chez les Warramunga, l'Intichiuma affecte, en général, une forme très particulière que nous décrirons dans le prochain chapitre et qui diffère de celles que nous avons, jusqu'à présent, étudiées. Il existe pourtant chez ce peuple un cas typique d'Intichiuma purement mimétique ; c'est celui du kakatoès blanc. La cérémonie que décrivent Spencer et GILLEN commença à dix heures du soir. Pendant toute la durée de la nuit, le chef du clan imita le cri de l'oiseau avec une monotonie désespérante. Il ne s'arrêtait que quand il était à bout de forces et il était alors remplacé par son fils ; puis il recommençait aussitôt qu'il se sentait un peu reposé.</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Ces exercices épuisants se continuèrent jusqu'au matin sans interruption </w:t>
      </w:r>
      <w:r w:rsidRPr="00FB35F7">
        <w:rPr>
          <w:rStyle w:val="Rimandonotaapidipagina"/>
          <w:rFonts w:ascii="Times" w:hAnsi="Times New Roman" w:cs="Times"/>
        </w:rPr>
        <w:footnoteReference w:id="172"/>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êtres vivants ne sont pas les seuls que l'on cherche à imiter. Dans un grand nombre de tribus, l'Intichiuma de la pluie consiste essentiellement en rites imitatifs. Un des plus simples est celui qui est célébré chez les Urabunna. Le chef du clan est assis par terre, tout décoré de duvet blanc et tenant dans ses mains une lance. Il s'agite de toutes les manières, sans doute pour détacher de son corps le duvet qui y est fixé et qui, répandu dans l'air, représente les nuages. Il imite ainsi les hommes-nuages de l'Alcheringa qui, d'après la légende, avaient l'habitude de monter au ciel pour y former des nuages d'où la pluie retombait ensuite. En un mot, tout le rite a pour objet de figurer la formation et l'ascension des nuages, porteurs de pluie </w:t>
      </w:r>
      <w:r w:rsidRPr="00FB35F7">
        <w:rPr>
          <w:rStyle w:val="Rimandonotaapidipagina"/>
          <w:rFonts w:ascii="Times" w:hAnsi="Times New Roman" w:cs="Times"/>
        </w:rPr>
        <w:footnoteReference w:id="17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Chez les Kaitish, la cérémonie est beaucoup plus compliquée. Déjà, nous avons parlé d'un des moyens employés : l'officiant verse de l'eau sur les pierres sacrées et sur lui-même. Mais l'action de cette sorte d'oblation est renforcée par d'autres rites. L'arc-en-ciel est considéré comme étroitement en rapports avec la pluie : on dit qu'il en est le fils et qu'il est toujours pressé de paraître pour la faire cesser. Pour qu'elle puisse tomber, il faut donc qu'il ne se montre pas ; on croit obtenir ce résultat en procédant de la manière suivante. Sur un bouclier, on exécute un dessin qui représente l'arc-en-ciel. On emporte ce bouclier au camp en ayant soin de le tenir dissimulé à tous les regards. On est convaincu qu'en rendant invi</w:t>
      </w:r>
      <w:r w:rsidRPr="00FB35F7">
        <w:rPr>
          <w:rFonts w:ascii="Times" w:hAnsi="Times New Roman" w:cs="Times"/>
        </w:rPr>
        <w:softHyphen/>
      </w:r>
      <w:r w:rsidRPr="00FB35F7">
        <w:rPr>
          <w:rFonts w:ascii="Times New Roman" w:hAnsi="Times New Roman" w:cs="Times"/>
        </w:rPr>
        <w:t xml:space="preserve">sible cette image de l'arc-en-ciel, on empêche l'arc-en-ciel lui-même de se manifester. Entre temps, le chef du clan, ayant à ses côtés un </w:t>
      </w:r>
      <w:r w:rsidRPr="00FB35F7">
        <w:rPr>
          <w:rFonts w:ascii="Times New Roman" w:hAnsi="Times New Roman" w:cs="Times"/>
          <w:i/>
          <w:iCs/>
        </w:rPr>
        <w:t xml:space="preserve">pitchi </w:t>
      </w:r>
      <w:r w:rsidRPr="00FB35F7">
        <w:rPr>
          <w:rFonts w:ascii="Times New Roman" w:hAnsi="Times New Roman" w:cs="Times"/>
        </w:rPr>
        <w:t>plein d'eau, jette dans toutes les directions des flocons de duvet blanc qui représentent les nuages. Des imitations répétées du cri de pluvier viennent compléter la cérémonie qui paraît avoir une gravité toute particulière ; car, pendant qu'elle dure, ceux qui y participent, comme acteurs ou comme assistants, ne peuvent avoir aucun rapport avec leurs femmes ; ils ne peuvent même pas leur parler </w:t>
      </w:r>
      <w:r w:rsidRPr="00FB35F7">
        <w:rPr>
          <w:rStyle w:val="Rimandonotaapidipagina"/>
          <w:rFonts w:ascii="Times" w:hAnsi="Times New Roman" w:cs="Times"/>
        </w:rPr>
        <w:footnoteReference w:id="174"/>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Chez les Dieri, les procédés de figuration sont différents. La pluie est représentée non par de l'eau, mais par du sang que des hommes font couler de leurs veines sur l'assistance </w:t>
      </w:r>
      <w:r w:rsidRPr="00FB35F7">
        <w:rPr>
          <w:rStyle w:val="Rimandonotaapidipagina"/>
          <w:rFonts w:ascii="Times" w:hAnsi="Times New Roman" w:cs="Times"/>
        </w:rPr>
        <w:footnoteReference w:id="175"/>
      </w:r>
      <w:r w:rsidRPr="00FB35F7">
        <w:rPr>
          <w:rFonts w:ascii="Times New Roman" w:hAnsi="Times New Roman" w:cs="Times"/>
        </w:rPr>
        <w:t>. En même temps, ils lancent des poignées de duvet blanc qui symbolise les nuages. Antérieu</w:t>
      </w:r>
      <w:r w:rsidRPr="00FB35F7">
        <w:rPr>
          <w:rFonts w:ascii="Times" w:hAnsi="Times New Roman" w:cs="Times"/>
        </w:rPr>
        <w:softHyphen/>
      </w:r>
      <w:r w:rsidRPr="00FB35F7">
        <w:rPr>
          <w:rFonts w:ascii="Times New Roman" w:hAnsi="Times New Roman" w:cs="Times"/>
        </w:rPr>
        <w:t>re</w:t>
      </w:r>
      <w:r w:rsidRPr="00FB35F7">
        <w:rPr>
          <w:rFonts w:ascii="Times" w:hAnsi="Times New Roman" w:cs="Times"/>
        </w:rPr>
        <w:softHyphen/>
      </w:r>
      <w:r w:rsidRPr="00FB35F7">
        <w:rPr>
          <w:rFonts w:ascii="Times New Roman" w:hAnsi="Times New Roman" w:cs="Times"/>
        </w:rPr>
        <w:t>ment, une hutte a été construite. On y dépose deux larges pierres qui figurent des amoncel</w:t>
      </w:r>
      <w:r w:rsidRPr="00FB35F7">
        <w:rPr>
          <w:rFonts w:ascii="Times" w:hAnsi="Times New Roman" w:cs="Times"/>
        </w:rPr>
        <w:softHyphen/>
      </w:r>
      <w:r w:rsidRPr="00FB35F7">
        <w:rPr>
          <w:rFonts w:ascii="Times New Roman" w:hAnsi="Times New Roman" w:cs="Times"/>
        </w:rPr>
        <w:t>le</w:t>
      </w:r>
      <w:r w:rsidRPr="00FB35F7">
        <w:rPr>
          <w:rFonts w:ascii="Times" w:hAnsi="Times New Roman" w:cs="Times"/>
        </w:rPr>
        <w:softHyphen/>
      </w:r>
      <w:r w:rsidRPr="00FB35F7">
        <w:rPr>
          <w:rFonts w:ascii="Times New Roman" w:hAnsi="Times New Roman" w:cs="Times"/>
        </w:rPr>
        <w:t>ments de nuages, présage de la pluie. Après les y avoir laissées quelque temps, on les transporte à une certaine distance de là et on les place aussi haut que possible sur l'arbre le plus élevé qu'on peut trouver ; c'est une manière de déterminer les nuages à monter au ciel. Du gypse, réduit en poudre, est jeté dans un trou d'eau; ce que voyant, l'esprit de la pluie fait apparaître aussitôt les nuages. Enfin, tous, jeunes et vieux, se réunissent autour de la hutte, et, tête baissée, se précipitent sur elle ; ils passent violemment au travers, recommencent le mouvement plusieurs fois, jusqu'à ce que, de toute la construction, il ne reste plus debout que les poutres qui la supportent. Alors, on s'en prend à ces dernières, on les ébranle, on les arrache jusqu'à ce que tout s'écroule définitivement. L'opération qui consiste à percer la hutte de part en part est destinée à représenter les nuages qui s’entrouvrent, et l'écroulement de la construction, la chute de la pluie </w:t>
      </w:r>
      <w:r w:rsidRPr="00FB35F7">
        <w:rPr>
          <w:rStyle w:val="Rimandonotaapidipagina"/>
          <w:rFonts w:ascii="Times" w:hAnsi="Times New Roman" w:cs="Times"/>
        </w:rPr>
        <w:footnoteReference w:id="176"/>
      </w:r>
      <w:r w:rsidRPr="00FB35F7">
        <w:rPr>
          <w:rFonts w:ascii="Times New Roman" w:hAnsi="Times New Roman" w:cs="Times"/>
        </w:rPr>
        <w:t>.</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Dans les tribus du Nord-Ouest qu'a étudiées Clement </w:t>
      </w:r>
      <w:r w:rsidRPr="00FB35F7">
        <w:rPr>
          <w:rStyle w:val="Rimandonotaapidipagina"/>
          <w:rFonts w:ascii="Times" w:hAnsi="Times New Roman" w:cs="Times"/>
        </w:rPr>
        <w:footnoteReference w:id="177"/>
      </w:r>
      <w:r w:rsidRPr="00FB35F7">
        <w:rPr>
          <w:rFonts w:ascii="Times New Roman" w:hAnsi="Times New Roman" w:cs="Times"/>
        </w:rPr>
        <w:t xml:space="preserve"> et qui occupent le territoire compris entre la rivière Forteseue et la rivière Fitzroy, des cérémonies sont célébrées qui ont exactement le même objet que l'Intichiuma des Arunta, et qui semblent être, pour la plupart, essentiellement mimétiques.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appelle tarlow, chez ces peuples, des tas de pierres évidemment sacrées, puisque, comme nous allons le voir, elles sont l'objet de rites importants. Chaque animal, chaque plante, c'est-à-dire, en somme, chaque totem ou sous-totem </w:t>
      </w:r>
      <w:r w:rsidRPr="00FB35F7">
        <w:rPr>
          <w:rStyle w:val="Rimandonotaapidipagina"/>
          <w:rFonts w:ascii="Times" w:hAnsi="Times New Roman" w:cs="Times"/>
        </w:rPr>
        <w:footnoteReference w:id="178"/>
      </w:r>
      <w:r w:rsidRPr="00FB35F7">
        <w:rPr>
          <w:rFonts w:ascii="Times New Roman" w:hAnsi="Times New Roman" w:cs="Times"/>
        </w:rPr>
        <w:t>, est représenté par un tarlow dont un clan déterminé </w:t>
      </w:r>
      <w:r w:rsidRPr="00FB35F7">
        <w:rPr>
          <w:rStyle w:val="Rimandonotaapidipagina"/>
          <w:rFonts w:ascii="Times" w:hAnsi="Times New Roman" w:cs="Times"/>
        </w:rPr>
        <w:footnoteReference w:id="179"/>
      </w:r>
      <w:r w:rsidRPr="00FB35F7">
        <w:rPr>
          <w:rFonts w:ascii="Times New Roman" w:hAnsi="Times New Roman" w:cs="Times"/>
        </w:rPr>
        <w:t xml:space="preserve"> à la garde. On voit aisément l'analogie qu'il y a entre ces tarlow et les pierres sacrées des Arunta.</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Quand les kangourous, par exemple, deviennent rares, le chef du clan auquel appartient le tarlow des kangourous, s'y rend avec un certain nombre de ses compagnons. Là, on exécute différents rites dont les principaux consistent à sauter, autour du tarlow, comme sautent les kangourous, à boire comme ils boivent, en un mot, à imiter leurs mouvements les plus caractéristiques. Les armes qui servent à la chasse de l'animal jouent un rôle important dans ces rites. On les brandit, on les lance contre les pierres, etc. Quand il s'agit des émous, on va au tarlow de l'émou ; on marche, on court comme font ces oiseaux. L'habileté dont font preuve les indigènes dans ces imitations est, paraît-il, tout à fait remarquable.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D'autres tarlow sont consacrés à des plantes, à des graines d'herbe par exemple. Dans ce cas, ce qu'on imite, ce sont les opérations qui servent à vanner ces graines ou à les moudre. Et comme, dans la vie ordinaire, ce sont les femmes qui sont normalement chargées de ces soins, ce sont elles aussi qui s'acquittent du rite au milieu des chants et des danses.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19" w:name="livre_3_chap_3_2"/>
      <w:r w:rsidRPr="00FB35F7">
        <w:rPr>
          <w:rFonts w:ascii="Times New Roman" w:hAnsi="Times New Roman"/>
        </w:rPr>
        <w:t>II</w:t>
      </w:r>
    </w:p>
    <w:bookmarkEnd w:id="19"/>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Tous ces rites ressortissent au même type. Le principe sur lequel ils reposent est un de ceux qui sont à la base de ce qu'on appelle communément, et improprement </w:t>
      </w:r>
      <w:r w:rsidRPr="00FB35F7">
        <w:rPr>
          <w:rStyle w:val="Rimandonotaapidipagina"/>
          <w:rFonts w:ascii="Times" w:hAnsi="Times New Roman" w:cs="Times"/>
        </w:rPr>
        <w:footnoteReference w:id="180"/>
      </w:r>
      <w:r w:rsidRPr="00FB35F7">
        <w:rPr>
          <w:rFonts w:ascii="Times New Roman" w:hAnsi="Times New Roman" w:cs="Times"/>
        </w:rPr>
        <w:t>, la magie sym</w:t>
      </w:r>
      <w:r w:rsidRPr="00FB35F7">
        <w:rPr>
          <w:rFonts w:ascii="Times" w:hAnsi="Times New Roman" w:cs="Times"/>
        </w:rPr>
        <w:softHyphen/>
      </w:r>
      <w:r w:rsidRPr="00FB35F7">
        <w:rPr>
          <w:rFonts w:ascii="Times New Roman" w:hAnsi="Times New Roman" w:cs="Times"/>
        </w:rPr>
        <w:t>pa</w:t>
      </w:r>
      <w:r w:rsidRPr="00FB35F7">
        <w:rPr>
          <w:rFonts w:ascii="Times" w:hAnsi="Times New Roman" w:cs="Times"/>
        </w:rPr>
        <w:softHyphen/>
      </w:r>
      <w:r w:rsidRPr="00FB35F7">
        <w:rPr>
          <w:rFonts w:ascii="Times New Roman" w:hAnsi="Times New Roman" w:cs="Times"/>
        </w:rPr>
        <w:t>thique.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 principes se ramènent ordinairement à deux </w:t>
      </w:r>
      <w:r w:rsidRPr="00FB35F7">
        <w:rPr>
          <w:rStyle w:val="Rimandonotaapidipagina"/>
          <w:rFonts w:ascii="Times" w:hAnsi="Times New Roman" w:cs="Times"/>
        </w:rPr>
        <w:footnoteReference w:id="181"/>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Le premier peut s'énoncer ainsi : ce </w:t>
      </w:r>
      <w:r w:rsidRPr="00FB35F7">
        <w:rPr>
          <w:rFonts w:ascii="Times New Roman" w:hAnsi="Times New Roman" w:cs="Times"/>
          <w:i/>
          <w:iCs/>
        </w:rPr>
        <w:t xml:space="preserve">qui atteint un objet atteint aussi tout ce qui soutient avec cet objet un rapport de Proximité ou de solidarité quelconque. </w:t>
      </w:r>
      <w:r w:rsidRPr="00FB35F7">
        <w:rPr>
          <w:rFonts w:ascii="Times New Roman" w:hAnsi="Times New Roman" w:cs="Times"/>
        </w:rPr>
        <w:t>Ainsi, ce qui affecte la partie affecte le tout ; toute action exercée sur un individu se transmet à ses voisins, à ses parents, à tous ceux dont il est solidaire à quelque titre que ce soit. Tous ces cas sont de simples applications de la loi de contagion que nous avons précédemment étudiée. Un état, une qualité bonne ou mauvaise se communiquent contagieusement d'un sujet à un sujet différent qui soutient quelque rapport avec le premier.</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Le second principe se résume d'ordinaire dans la formule : le </w:t>
      </w:r>
      <w:r w:rsidRPr="00FB35F7">
        <w:rPr>
          <w:rFonts w:ascii="Times New Roman" w:hAnsi="Times New Roman" w:cs="Times"/>
          <w:i/>
          <w:iCs/>
        </w:rPr>
        <w:t>semblable produit le sem</w:t>
      </w:r>
      <w:r w:rsidRPr="00FB35F7">
        <w:rPr>
          <w:rFonts w:ascii="Times" w:hAnsi="Times New Roman" w:cs="Times"/>
          <w:i/>
          <w:iCs/>
        </w:rPr>
        <w:softHyphen/>
      </w:r>
      <w:r w:rsidRPr="00FB35F7">
        <w:rPr>
          <w:rFonts w:ascii="Times New Roman" w:hAnsi="Times New Roman" w:cs="Times"/>
          <w:i/>
          <w:iCs/>
        </w:rPr>
        <w:t xml:space="preserve">blable. </w:t>
      </w:r>
      <w:r w:rsidRPr="00FB35F7">
        <w:rPr>
          <w:rFonts w:ascii="Times New Roman" w:hAnsi="Times New Roman" w:cs="Times"/>
        </w:rPr>
        <w:t>La figuration d'un être ou d'un état produit cet être ou cet état. C'est cette maxime que mettent en œuvre les rites qui viennent d'être décrits, et c'est à leur occasion que l'on peut le mieux saisir ce qu'elle a de caractéristique. L'exemple classique de l'envoûtement, que l'on présente généralement comme l'application typique de ce même précepte, est beaucoup moins significatif. Dans l'envoûtement, en effet, il y a, en grande partie, un simple phéno</w:t>
      </w:r>
      <w:r w:rsidRPr="00FB35F7">
        <w:rPr>
          <w:rFonts w:ascii="Times" w:hAnsi="Times New Roman" w:cs="Times"/>
        </w:rPr>
        <w:softHyphen/>
      </w:r>
      <w:r w:rsidRPr="00FB35F7">
        <w:rPr>
          <w:rFonts w:ascii="Times New Roman" w:hAnsi="Times New Roman" w:cs="Times"/>
        </w:rPr>
        <w:t>mène de transfert. L'idée de l'image est associée dans les esprits à celle du modèle ; par suite, les effets de l'action exercée sur la statuette se communiquent contagieusement à la personne dont elle reproduit les traits. L'image joue, par rapport à l'original, le rôle de la partie par rapport au tout : c'est un agent de transmission. Aussi croit-on pouvoir obtenir le même résultat en brûlant les cheveux de la personne qu'on veut atteindre : la seule différence qu'il y ait entre ces deux sortes d'opéra</w:t>
      </w:r>
      <w:r w:rsidRPr="00FB35F7">
        <w:rPr>
          <w:rFonts w:ascii="Times" w:hAnsi="Times New Roman" w:cs="Times"/>
        </w:rPr>
        <w:softHyphen/>
      </w:r>
      <w:r w:rsidRPr="00FB35F7">
        <w:rPr>
          <w:rFonts w:ascii="Times New Roman" w:hAnsi="Times New Roman" w:cs="Times"/>
        </w:rPr>
        <w:t>tions, c'est que, dans l'une, la communication se fait par la voie de la similarité, dans l'autre, par le moyen de la contiguïté. Il en est autrement des rites qui nous occupent. Ils ne suppo</w:t>
      </w:r>
      <w:r w:rsidRPr="00FB35F7">
        <w:rPr>
          <w:rFonts w:ascii="Times" w:hAnsi="Times New Roman" w:cs="Times"/>
        </w:rPr>
        <w:softHyphen/>
      </w:r>
      <w:r w:rsidRPr="00FB35F7">
        <w:rPr>
          <w:rFonts w:ascii="Times New Roman" w:hAnsi="Times New Roman" w:cs="Times"/>
        </w:rPr>
        <w:t>sent pas seulement le déplacement d'un état ou d'une qualité donnés qui passent d'un objet dans un autre, mais la création de quelque chose d'entièrement nouveau. Le seul fait de représenter l'animal donne naissance à cet animal et le crée; en imitant le bruit du vent on de l'eau qui tombe, on détermine les nuages à se former et à se résoudre en pluie, etc. Sans doute, la ressemblance joue un rôle dans les deux cas, mais très différent. Dans l'envoûte</w:t>
      </w:r>
      <w:r w:rsidRPr="00FB35F7">
        <w:rPr>
          <w:rFonts w:ascii="Times" w:hAnsi="Times New Roman" w:cs="Times"/>
        </w:rPr>
        <w:softHyphen/>
      </w:r>
      <w:r w:rsidRPr="00FB35F7">
        <w:rPr>
          <w:rFonts w:ascii="Times New Roman" w:hAnsi="Times New Roman" w:cs="Times"/>
        </w:rPr>
        <w:t>ment, elle ne fait qu'imprimer une direction déterminée à l'action exercée ; elle oriente dans un certain sens une efficacité qui ne vient pas d'elle. Dans les rites dont il vient d'être question, elle est agissante par elle-même et directement efficace. Aussi, contrairement aux définitions usuelles, ce qui différencie vraiment les deux principes de la magie dite sympathi</w:t>
      </w:r>
      <w:r w:rsidRPr="00FB35F7">
        <w:rPr>
          <w:rFonts w:ascii="Times" w:hAnsi="Times New Roman" w:cs="Times"/>
        </w:rPr>
        <w:softHyphen/>
      </w:r>
      <w:r w:rsidRPr="00FB35F7">
        <w:rPr>
          <w:rFonts w:ascii="Times New Roman" w:hAnsi="Times New Roman" w:cs="Times"/>
        </w:rPr>
        <w:t>que et les pratiques correspondantes, ce n'est pas que la contiguïté agit dans les unes et la ressemblance dans les autres ; mais c'est que, dans les premières, il y a simple communica</w:t>
      </w:r>
      <w:r w:rsidRPr="00FB35F7">
        <w:rPr>
          <w:rFonts w:ascii="Times" w:hAnsi="Times New Roman" w:cs="Times"/>
        </w:rPr>
        <w:softHyphen/>
      </w:r>
      <w:r w:rsidRPr="00FB35F7">
        <w:rPr>
          <w:rFonts w:ascii="Times New Roman" w:hAnsi="Times New Roman" w:cs="Times"/>
        </w:rPr>
        <w:t>tion contagieuse, dans les secondes, production et création </w:t>
      </w:r>
      <w:r w:rsidRPr="00FB35F7">
        <w:rPr>
          <w:rStyle w:val="Rimandonotaapidipagina"/>
          <w:rFonts w:ascii="Times" w:hAnsi="Times New Roman" w:cs="Times"/>
        </w:rPr>
        <w:footnoteReference w:id="182"/>
      </w:r>
      <w:r w:rsidRPr="00FB35F7">
        <w:rPr>
          <w:rFonts w:ascii="Times New Roman" w:hAnsi="Times New Roman" w:cs="Times"/>
        </w:rPr>
        <w:t>.</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Expliquer les rites mimétiques, c'est donc expliquer le second de ces principes et réciproquement.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ne nous arrêterons pas longtemps à discuter l'explication qu'en a proposée l'école anthropologique, Tylor et Frazer notamment. Tout comme pour rendre compte de la contagiosité du caractère sacré, ils invoquent les propriétés de l'association des idées. « La magie homéopathique, dit Frazer qui préfère cette expression à celle de magie mimétique, repose sur l'association des idées par similarité, comme la magie contagieuse (contagious magic) sur l'association des idées par contiguïté. La magie homéopathique commet la mépri</w:t>
      </w:r>
      <w:r w:rsidRPr="00FB35F7">
        <w:rPr>
          <w:rFonts w:ascii="Times" w:hAnsi="Times New Roman" w:cs="Times"/>
        </w:rPr>
        <w:softHyphen/>
      </w:r>
      <w:r w:rsidRPr="00FB35F7">
        <w:rPr>
          <w:rFonts w:ascii="Times New Roman" w:hAnsi="Times New Roman" w:cs="Times"/>
        </w:rPr>
        <w:t>se de prendre pour identiques des choses qui se ressemblent </w:t>
      </w:r>
      <w:r w:rsidRPr="00FB35F7">
        <w:rPr>
          <w:rStyle w:val="Rimandonotaapidipagina"/>
          <w:rFonts w:ascii="Times" w:hAnsi="Times New Roman" w:cs="Times"/>
        </w:rPr>
        <w:footnoteReference w:id="183"/>
      </w:r>
      <w:r w:rsidRPr="00FB35F7">
        <w:rPr>
          <w:rFonts w:ascii="Times New Roman" w:hAnsi="Times New Roman" w:cs="Times"/>
        </w:rPr>
        <w:t xml:space="preserve"> ». Mais c'est méconnaître le caractère spécifique des pratiques qui sont en cause. Par un côté, la formule de Frazer pour</w:t>
      </w:r>
      <w:r w:rsidRPr="00FB35F7">
        <w:rPr>
          <w:rFonts w:ascii="Times" w:hAnsi="Times New Roman" w:cs="Times"/>
        </w:rPr>
        <w:softHyphen/>
      </w:r>
      <w:r w:rsidRPr="00FB35F7">
        <w:rPr>
          <w:rFonts w:ascii="Times New Roman" w:hAnsi="Times New Roman" w:cs="Times"/>
        </w:rPr>
        <w:t>rait s'appliquer, avec quelque convenance, au cas de l'envoûtement </w:t>
      </w:r>
      <w:r w:rsidRPr="00FB35F7">
        <w:rPr>
          <w:rStyle w:val="Rimandonotaapidipagina"/>
          <w:rFonts w:ascii="Times" w:hAnsi="Times New Roman" w:cs="Times"/>
        </w:rPr>
        <w:footnoteReference w:id="184"/>
      </w:r>
      <w:r w:rsidRPr="00FB35F7">
        <w:rPr>
          <w:rFonts w:ascii="Times New Roman" w:hAnsi="Times New Roman" w:cs="Times"/>
        </w:rPr>
        <w:t>; là, en effet, deux choses distinctes sont assimilées l'une à l'autre en raison de leur ressemblance partielle : c'est l'image et le modèle qu'elle représente plus ou moins schématiquement. Mais, dans les rites mimétiques que nous venons d'observer, l'image seule est donnée ; quant au modèle, il n'est pas, puisque la nouvelle génération de l'espèce totémique n'est encore qu'une espérance et même une espérance incertaine. Il ne saurait donc être question d'assimilation, erronée ou non : il y a création proprement dite et on ne voit pas comment l'association des idées pourrait faire croire à cette création. Comment le seul fait de figurer les mouvements d'un animal pourrait-il donner la certitude que cet animal va renaître en abondance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propriétés générales de la nature humaine ne sauraient expliquer des pratiques aussi spéciales. Au lieu donc de considérer le principe sur lequel elles reposent sous sa forme générale et abstraite, replaçons-le dans le milieu moral dont il fait partie et où nous venons de l'observer, rattachons-le à l'ensemble d'idées et de sentiments dont procèdent les rites où il est appliqué, et nous pourrons mieux apercevoir les causes dont il résulte.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hommes qui se réunissent à l'occasion de ces rites croient réellement être des animaux ou des plantes de l'espèce dont ils portent le nom. Ils se sentent une nature ou végétale ou animale, et c'est elle qui constitue, à leurs yeux, ce qu'il y a de plus essentiel et de plus excellent en eux. Une fois assemblés, leur premier mouvement doit donc être de s'affirmer les uns aux autres cette qualité qu'ils s'attribuent et par laquelle ils se définissent. Le totem est leur signe de ralliement : pour cette raison, comme nous l'avons vu, ils le dessi</w:t>
      </w:r>
      <w:r w:rsidRPr="00FB35F7">
        <w:rPr>
          <w:rFonts w:ascii="Times" w:hAnsi="Times New Roman" w:cs="Times"/>
        </w:rPr>
        <w:softHyphen/>
      </w:r>
      <w:r w:rsidRPr="00FB35F7">
        <w:rPr>
          <w:rFonts w:ascii="Times New Roman" w:hAnsi="Times New Roman" w:cs="Times"/>
        </w:rPr>
        <w:t>nent sur leur corps ; mais il est non moins naturel qu'ils cherchent à lui ressembler par leurs gestes, leurs cris, leur attitude. Puisqu'ils sont des émous ou des kangourous, ils se comporteront donc comme des animaux du même nom. Par ce moyen, ils se témoignent mutuellement qu'ils sont membres de la même communauté morale et ils prennent conscien</w:t>
      </w:r>
      <w:r w:rsidRPr="00FB35F7">
        <w:rPr>
          <w:rFonts w:ascii="Times" w:hAnsi="Times New Roman" w:cs="Times"/>
        </w:rPr>
        <w:softHyphen/>
      </w:r>
      <w:r w:rsidRPr="00FB35F7">
        <w:rPr>
          <w:rFonts w:ascii="Times New Roman" w:hAnsi="Times New Roman" w:cs="Times"/>
        </w:rPr>
        <w:t>ce de la parenté qui les unit. Cette parenté, le rite ne se borne pas à l'exprimer; il la fait ou la refait. Car elle n'est qu'autant qu'elle est crue et toutes ces démonstrations collectives ont pour effet d'entretenir les croyances sur lesquelles elle repose. Ainsi, ces sauts, ces cris, ces mouvements de toute sorte, bizarres et grotesques en apparence, ont, en réalité, une signifi</w:t>
      </w:r>
      <w:r w:rsidRPr="00FB35F7">
        <w:rPr>
          <w:rFonts w:ascii="Times" w:hAnsi="Times New Roman" w:cs="Times"/>
        </w:rPr>
        <w:softHyphen/>
      </w:r>
      <w:r w:rsidRPr="00FB35F7">
        <w:rPr>
          <w:rFonts w:ascii="Times New Roman" w:hAnsi="Times New Roman" w:cs="Times"/>
        </w:rPr>
        <w:t>ca</w:t>
      </w:r>
      <w:r w:rsidRPr="00FB35F7">
        <w:rPr>
          <w:rFonts w:ascii="Times" w:hAnsi="Times New Roman" w:cs="Times"/>
        </w:rPr>
        <w:softHyphen/>
      </w:r>
      <w:r w:rsidRPr="00FB35F7">
        <w:rPr>
          <w:rFonts w:ascii="Times New Roman" w:hAnsi="Times New Roman" w:cs="Times"/>
        </w:rPr>
        <w:t>tion humaine et profonde. L'Australien cherche à ressembler à son totem comme le fidèle des religions plus avancées chercher à ressembler à son Dieu. C'est, pour l'un comme pour l'autre, un moyen de communier avec l'être sacré, c'est-à-dire avec l'idéal collectif que ce dernier symbolise. C'est une première forme de l’</w:t>
      </w:r>
      <w:r w:rsidRPr="00FB35F7">
        <w:rPr>
          <w:rFonts w:ascii="Times New Roman" w:hAnsi="Times New Roman" w:cs="Times"/>
          <w:i/>
          <w:iCs/>
        </w:rPr>
        <w:t>homoiôsis tô theô</w:t>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Toutefois, comme cette première raison tient à ce qu'il y a de plus spécial dans les croyan</w:t>
      </w:r>
      <w:r w:rsidRPr="00FB35F7">
        <w:rPr>
          <w:rFonts w:ascii="Times" w:hAnsi="Times New Roman" w:cs="Times"/>
        </w:rPr>
        <w:softHyphen/>
      </w:r>
      <w:r w:rsidRPr="00FB35F7">
        <w:rPr>
          <w:rFonts w:ascii="Times New Roman" w:hAnsi="Times New Roman" w:cs="Times"/>
        </w:rPr>
        <w:t>ces totémiques, si elle était seule, le principe d'après lequel le semblable produit le semblable n'aurait pas dû survivre au totémisme. Or il n'est peut-être pas de religion où l'on ne trouve des rites qui en dérivent. Il faut donc qu'une autre raison soit venue se joindre à la précédente.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Et, en effet, les cérémonies où nous l'avons vu appliqué n'ont pas seulement l'objet très général que nous venons de rappeler, si essentiel qu'il soit; mais elles visent, en outre, un but plus prochain et plus conscient qui est d'assurer la reproduction de l'espèce totémique. L'idée de cette reproduction nécessaire hante donc l'esprit des fidèles : c'est sur elle que se concen</w:t>
      </w:r>
      <w:r w:rsidRPr="00FB35F7">
        <w:rPr>
          <w:rFonts w:ascii="Times" w:hAnsi="Times New Roman" w:cs="Times"/>
        </w:rPr>
        <w:softHyphen/>
      </w:r>
      <w:r w:rsidRPr="00FB35F7">
        <w:rPr>
          <w:rFonts w:ascii="Times New Roman" w:hAnsi="Times New Roman" w:cs="Times"/>
        </w:rPr>
        <w:t>trent les forces de leur attention et de leur volonté. Or, une même préoccupation ne peut pas obséder à ce point tout un groupe d'hommes sans s'extérioriser sous une forme matérielle. Puisque tous pensent à l'animal ou au végétal des destinées duquel le clan est solidaire, il est inévitable que cette pensée commune vienne se manifester extérieurement par des gestes, et les plus désignés pour ce rôle sont ceux qui représentent cet animal ou cette plante par un de ses aspects les plus caractéristiques ; car, il n'est pas de mouvements qui tiennent d'aussi près à l'idée qui remplit alors les consciences, puisqu'ils en sont la traduction immédiate et presque automatique. On s'efforce donc d'imiter l'animal; on crie comme lui ; on saute comme lui ; on reproduit les scènes où la plante est quotidiennement utilisée. Tous ces procé</w:t>
      </w:r>
      <w:r w:rsidRPr="00FB35F7">
        <w:rPr>
          <w:rFonts w:ascii="Times" w:hAnsi="Times New Roman" w:cs="Times"/>
        </w:rPr>
        <w:softHyphen/>
      </w:r>
      <w:r w:rsidRPr="00FB35F7">
        <w:rPr>
          <w:rFonts w:ascii="Times New Roman" w:hAnsi="Times New Roman" w:cs="Times"/>
        </w:rPr>
        <w:t>dés de figuration sont autant de moyens de marquer ostensiblement le but vers lequel tous les esprits sont tendus, de dire la chose qu'on veut réaliser, de l'appeler, de l'évoquer </w:t>
      </w:r>
      <w:r w:rsidRPr="00FB35F7">
        <w:rPr>
          <w:rStyle w:val="Rimandonotaapidipagina"/>
          <w:rFonts w:ascii="Times" w:hAnsi="Times New Roman" w:cs="Times"/>
        </w:rPr>
        <w:footnoteReference w:id="185"/>
      </w:r>
      <w:r w:rsidRPr="00FB35F7">
        <w:rPr>
          <w:rFonts w:ascii="Times New Roman" w:hAnsi="Times New Roman" w:cs="Times"/>
        </w:rPr>
        <w:t>. Et ce besoin n'est pas d'un temps, il ne dépend pas des croyances de telle ou telle religion ; il est essentiellement humain. Voilà pourquoi, même dans des religions très différentes de celle que nous étudions, les fidèles, réunis pour solliciter (le leurs dieux un événement qu'ils souhaitent ardemment, sont comme nécessités à la figurer. Sans doute, la parole est aussi un moyen de l'exprimer ; mais le geste n'est pas moins naturel ; il jaillit tout aussi spontanément de l'organisme ; il devance même la parole ou, en tout cas, l'accompagne.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l'on peut comprendre ainsi comment ces gestes ont pris place dans la cérémonie, il reste à expliquer l'efficacité qui leur est attribuée. Si l'Australien les répète régulièrement à chaque saison nouvelle, c'est qu'il les croit nécessaires au succès du rite. D'où peut lui être venue cette idée qu'en imitant un animal on le détermine à se reproduire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Une erreur aussi manifeste semble difficilement intelligible tant qu'on ne voit dans le rite que le but matériel où il paraît tendre. Mais nous savons qu'outre l'effet qu'il est censé avoir sur l'espèce totémique, il exerce une action profonde sur l'âme des fidèles qui y prennent part. Ceux-ci en rapportent une impression de bien-être dont ils ne voient pas clairement les causes, mais qui est bien fondée. Ils ont conscience que la cérémonie leur est salutaire ; et en effet, ils y refont leur être moral. Comment cette sorte d'euphorie ne leur donnerait-elle pas le sentiment que le rite a réussi, qu'il a été ce qu'il se proposait d'être, qu'il a atteint le but où il visait ? Et comme le seul but qui soit consciemment poursuivi, c'est la reproduction de l'espèce totémique, celle-ci paraît être assurée par les moyens employés, dont l'efficacité se trouve ainsi démontrée. C'est ainsi que les hommes en sont venus à attribuer à des gestes, vains par eux-mêmes, des vertus créatrices. L'efficacité morale du rite, qui est réelle, a fait croire à son efficacité physique, qui est imaginaire ; celle du tout, à celle de chaque partie, prise à part. Les effets vraiment utiles que produit l'ensemble de la cérémonie sont comme une justification expérimentale des pratiques élémentaires dont elle est faite, bien que, en réalité, toutes ces pratiques ne soient nullement indispensables au succès. Ce qui prouve bien, d'ailleurs, qu'elles n'agissent pas par elles-mêmes, C'est qu'elles peuvent être remplacées par d'autres, de nature très différente, sans que le résultat final soit modifié. Il semble bien y avoir des Intichiuma qui ne comprennent que des oblations sans rites mimétiques ; d'autres sont purement mimétiques et ne comportent pas d'oblations. Cependant, les uns et les autres passent pour avoir la même efficacité. Si donc on attache du prix à ces différentes manœuvres, ce n'est pas à cause de leur valeur intrinsèque ; mais c'est qu'elles font partie d'un rite complexe dont on sent l'utilité globale.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nous est d'autant plus facile de comprendre cet état d'esprit que nous pouvons l'observer autour de nous. Surtout chez les peuples et dans les milieux les plus cultivés, il se rencontre fréquemment des croyants qui, tout en ayant des doutes sur l'efficacité spéciale que le dogme attribue à chaque rite considéré séparément, continuent pourtant à pratiquer le culte. Ils ne sont pas certains que le détail des observances prescrites soit rationnellement justifiable ; mais ils sentent qu'il leur serait impossible de s'en affranchir sans tomber dans un désarroi moral devant lequel ils reculent. Le fait même que la foi a perdu chez eux ses racines intellectuelles met ainsi en évidence les raisons profondes sur lesquelles elle repose. Voilà pourquoi les critiques faciles, auxquelles un rationalisme simpliste a parfois soumis les prescriptions rituelles, laissent en général le fidèle indifférent : c'est que la vraie justification des pratiques religieuses n'est pas dans les fins apparentes qu'elles poursuivent, mais dans l'action invisible qu'elles exercent sur les consciences, dans la façon dont elles affectent notre niveau mental. De même, quand les prédicateurs entreprennent de convaincre, ils s'attachent beaucoup moins à établir directement et par des preuves méthodiques la vérité de telle proposition particulière ou l'utilité de telle ou telle observance, qu'à éveiller ou à réveiller le sentiment de réconfort moral que procure la célébration régulière du culte. Ils créent ainsi une prédisposition à croire, qui devance les preuves, qui entraîne l'intelligence à passer par-dessus l'insuffisance des raisons logiques, et qui la porte à aller, comme d'elle-même, au-devant des propositions qu'on lui veut faire accepter. Ce préjugé favorable, cet élan à croire, c'est préci</w:t>
      </w:r>
      <w:r w:rsidRPr="00FB35F7">
        <w:rPr>
          <w:rFonts w:ascii="Times" w:hAnsi="Times New Roman" w:cs="Times"/>
        </w:rPr>
        <w:softHyphen/>
      </w:r>
      <w:r w:rsidRPr="00FB35F7">
        <w:rPr>
          <w:rFonts w:ascii="Times New Roman" w:hAnsi="Times New Roman" w:cs="Times"/>
        </w:rPr>
        <w:t>sément ce qui constitue la foi ; et c'est la foi qui fait l'autorité des rites auprès du croyant, quel qu'il soit, du chrétien comme de l'Australien. Toute la supériorité du premier, c'est qu'il se rend mieux compte du processus psychique d'où résulte sa croyance ; il sait « que c'est la foi qui sauve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parce que la foi a cette origine qu'elle est, en un sens, « imperméable à l'expé</w:t>
      </w:r>
      <w:r w:rsidRPr="00FB35F7">
        <w:rPr>
          <w:rFonts w:ascii="Times" w:hAnsi="Times New Roman" w:cs="Times"/>
        </w:rPr>
        <w:softHyphen/>
      </w:r>
      <w:r w:rsidRPr="00FB35F7">
        <w:rPr>
          <w:rFonts w:ascii="Times New Roman" w:hAnsi="Times New Roman" w:cs="Times"/>
        </w:rPr>
        <w:t>rien</w:t>
      </w:r>
      <w:r w:rsidRPr="00FB35F7">
        <w:rPr>
          <w:rFonts w:ascii="Times" w:hAnsi="Times New Roman" w:cs="Times"/>
        </w:rPr>
        <w:softHyphen/>
      </w:r>
      <w:r w:rsidRPr="00FB35F7">
        <w:rPr>
          <w:rFonts w:ascii="Times New Roman" w:hAnsi="Times New Roman" w:cs="Times"/>
        </w:rPr>
        <w:t>ce » </w:t>
      </w:r>
      <w:r w:rsidRPr="00FB35F7">
        <w:rPr>
          <w:rStyle w:val="Rimandonotaapidipagina"/>
          <w:rFonts w:ascii="Times" w:hAnsi="Times New Roman" w:cs="Times"/>
        </w:rPr>
        <w:footnoteReference w:id="186"/>
      </w:r>
      <w:r w:rsidRPr="00FB35F7">
        <w:rPr>
          <w:rFonts w:ascii="Times New Roman" w:hAnsi="Times New Roman" w:cs="Times"/>
        </w:rPr>
        <w:t>. Si les échecs intermittents de l'Intichiuma n'ébranlent pas la confiance que l'Austra</w:t>
      </w:r>
      <w:r w:rsidRPr="00FB35F7">
        <w:rPr>
          <w:rFonts w:ascii="Times" w:hAnsi="Times New Roman" w:cs="Times"/>
        </w:rPr>
        <w:softHyphen/>
      </w:r>
      <w:r w:rsidRPr="00FB35F7">
        <w:rPr>
          <w:rFonts w:ascii="Times New Roman" w:hAnsi="Times New Roman" w:cs="Times"/>
        </w:rPr>
        <w:t>lien a dans son rite, c'est qu'il tient de toutes les forces de son âme à ces pratiques où il vient se refaire périodiquement; il ne saurait donc en nier le principe sans qu'il en résulte un véritable bouleversement de tout son être qui résiste. Mais si grande que soit cette force de résistance, elle ne distingue pas radicalement la mentalité religieuse des autres formes de la mentalité humaine, mêmes de celles qu'on a le plus l'habitude lui de opposer. Sous ce rapport, celle du savant ne diffère de la précédente qu'en degrés. Quand une loi scientifique a pour elle l'autorité d'expériences nombreuses et variées, il est contraire à toute méthode d'y renoncer trop facilement sur la découverte d'un fait qui paraît la contredire. Encore faut-il être assuré que ce fait ne comporte qu'une seule interprétation et qu'il n'est pas possible d'en rendre compte sans abandonner la proposition qu'il semble infirmer. Or, l'Australien ne procède pas autrement quand il attribue l'insuccès d'un Intichiuma à quelque maléfice, on l'abondance d'une récolte prématurée à quelque Intichiuma mystique célébré dans l'au-delà. Il est d'autant plus fondé à ne pas douter de son rite sur la foi d'un fait contraire que la valeur en est ou en paraît établie par un nombre plus considérable de faits concordants. D'abord, l'efficacité morale de la cérémonie est réelle et elle est directement éprouvée par tous ceux qui y partici</w:t>
      </w:r>
      <w:r w:rsidRPr="00FB35F7">
        <w:rPr>
          <w:rFonts w:ascii="Times" w:hAnsi="Times New Roman" w:cs="Times"/>
        </w:rPr>
        <w:softHyphen/>
      </w:r>
      <w:r w:rsidRPr="00FB35F7">
        <w:rPr>
          <w:rFonts w:ascii="Times New Roman" w:hAnsi="Times New Roman" w:cs="Times"/>
        </w:rPr>
        <w:t>pent ; il y a là une expérience, constamment renouvelée, et dont aucune expérience contradic</w:t>
      </w:r>
      <w:r w:rsidRPr="00FB35F7">
        <w:rPr>
          <w:rFonts w:ascii="Times" w:hAnsi="Times New Roman" w:cs="Times"/>
        </w:rPr>
        <w:softHyphen/>
      </w:r>
      <w:r w:rsidRPr="00FB35F7">
        <w:rPr>
          <w:rFonts w:ascii="Times New Roman" w:hAnsi="Times New Roman" w:cs="Times"/>
        </w:rPr>
        <w:t>toire ne vient affaiblir la portée. De plus, l'efficacité physique elle-même n'est pas sans trouver dans les données de l'observation objective une confirmation au moins apparente. Il est normal, en effet, que l'espèce totémique se reproduise régulièrement ; tout se passe donc, dans la très grande généralité des cas, comme si les gestes rituels avaient réellement produit les effets qu'on en attendait. Les échecs sont l'exception. Comme les rites, surtout ceux qui sont périodiques, ne demandent rien d'autre à la nature que de suivre son cours régulier, il n'est pas surprenant que, le plus souvent, elle ait l'air de leur obéir. Ainsi, s'il arrive au croyant de se montrer indocile à certaines leçons de l'expérience, c'est en se fondant sur d'autres expériences qui lui paraissent plus démonstratives. Le savant ne fait pas autrement; il y met plus de méthode.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Magie n'est donc pas, comme l'a soutenu Frazer </w:t>
      </w:r>
      <w:r w:rsidRPr="00FB35F7">
        <w:rPr>
          <w:rStyle w:val="Rimandonotaapidipagina"/>
          <w:rFonts w:ascii="Times" w:hAnsi="Times New Roman" w:cs="Times"/>
        </w:rPr>
        <w:footnoteReference w:id="187"/>
      </w:r>
      <w:r w:rsidRPr="00FB35F7">
        <w:rPr>
          <w:rFonts w:ascii="Times New Roman" w:hAnsi="Times New Roman" w:cs="Times"/>
        </w:rPr>
        <w:t>, un fait premier dont la religion ne serait qu'une forme dérivée. Tout au contraire, c'est sous l'influence d'idées religieuses que se sont constitués les préceptes sur lesquels repose l'art du magicien, et c'est seulement par une extension secondaire qu'ils ont été appliqués à des relations purement laïques. Parce que toutes les forces de l'univers ont été conçues sur le modèle des forces sacrées, la contagiosité inhérente aux secondes fut étendue aux premières et l'on crut que, dans des conditions déterminées, toutes les propriétés des corps pouvaient se transmettre contagieusement. De même, une fois que le principe d'après lequel le semblable produit le semblable se fut constitué pour satisfaire des besoins religieux déterminés, il se détacha de ses origines rituelles pour devenir, par une sorte de généralisation spontanée, une loi de la nature </w:t>
      </w:r>
      <w:r w:rsidRPr="00FB35F7">
        <w:rPr>
          <w:rStyle w:val="Rimandonotaapidipagina"/>
          <w:rFonts w:ascii="Times" w:hAnsi="Times New Roman" w:cs="Times"/>
        </w:rPr>
        <w:footnoteReference w:id="188"/>
      </w:r>
      <w:r w:rsidRPr="00FB35F7">
        <w:rPr>
          <w:rFonts w:ascii="Times New Roman" w:hAnsi="Times New Roman" w:cs="Times"/>
        </w:rPr>
        <w:t>. Mais pour comprendre ces axiomes fondamentaux de la magie, il est nécessaire de les replacer dans les milieux religieux où ils ont pris naissance et qui, seuls, permettent d'en rendre compte. Quand on y voit l’œuvre d'individus isolés, de magiciens solitaires, on se demande comment des esprits humains ont pu en avoir l'idée, puisque rien, dans l'expérience, ne pouvait ni les suggérer ni les vérifier ; surtout on ne s'explique pas comment un art aussi déce</w:t>
      </w:r>
      <w:r w:rsidRPr="00FB35F7">
        <w:rPr>
          <w:rFonts w:ascii="Times" w:hAnsi="Times New Roman" w:cs="Times"/>
        </w:rPr>
        <w:softHyphen/>
      </w:r>
      <w:r w:rsidRPr="00FB35F7">
        <w:rPr>
          <w:rFonts w:ascii="Times New Roman" w:hAnsi="Times New Roman" w:cs="Times"/>
        </w:rPr>
        <w:t>vant a pu s'imposer, et pendant si longtemps, à la confiance des hommes. Mais le problè</w:t>
      </w:r>
      <w:r w:rsidRPr="00FB35F7">
        <w:rPr>
          <w:rFonts w:ascii="Times" w:hAnsi="Times New Roman" w:cs="Times"/>
        </w:rPr>
        <w:softHyphen/>
      </w:r>
      <w:r w:rsidRPr="00FB35F7">
        <w:rPr>
          <w:rFonts w:ascii="Times New Roman" w:hAnsi="Times New Roman" w:cs="Times"/>
        </w:rPr>
        <w:t>me disparaît si la foi qu'inspire la magie n'est qu'un cas particulier de la foi religieuse en général, si elle est elle-même le produit, au moins indirect, d'une effervescence collective. C'est dire que l'expression de magie sympathique pour désigner l'ensemble de pratiques dont il vient d'être question n'est pas sans impropriété. Il y a des rites sympathiques, mais ils ne sont pas particuliers à la magie ; non seulement on les retrouve dans la religion, mais c'est de la religion que la magie les a reçus. On ne peut donc que s'exposer à des confusions en ayant l'air d'en faire, par le nom qu'on leur donne, quelque chose de spécifiquement magique.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résultats de notre analyse viennent ainsi rejoindre et confirmer ceux auxquels sont arrivés MM. Hubert et Mauss quand ils ont étudié directement la magie </w:t>
      </w:r>
      <w:r w:rsidRPr="00FB35F7">
        <w:rPr>
          <w:rStyle w:val="Rimandonotaapidipagina"/>
          <w:rFonts w:ascii="Times" w:hAnsi="Times New Roman" w:cs="Times"/>
        </w:rPr>
        <w:footnoteReference w:id="189"/>
      </w:r>
      <w:r w:rsidRPr="00FB35F7">
        <w:rPr>
          <w:rFonts w:ascii="Times New Roman" w:hAnsi="Times New Roman" w:cs="Times"/>
        </w:rPr>
        <w:t>. Ils ont montré que celle-ci était tout autre chose qu'une industrie grossière, fondée sur une science tronquée. Derrière les mécanismes, purement laïcs en apparence, qu'emploie le magicien, ils ont fait voir tout un arrière-fond de conceptions religieuses, tout un monde de forces dont la magie a emprunté l'idée à la religion. Nous pouvons maintenant comprendre d'où vient qu'elle est ainsi toute pleine d'éléments religieux : c'est qu'elle est née de la religion.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20" w:name="livre_3_chap_3_3"/>
      <w:r w:rsidRPr="00FB35F7">
        <w:rPr>
          <w:rFonts w:ascii="Times New Roman" w:hAnsi="Times New Roman"/>
        </w:rPr>
        <w:t>III</w:t>
      </w:r>
    </w:p>
    <w:bookmarkEnd w:id="20"/>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 principe qui vient d'être expliqué n'a pas seulement une fonction rituelle ; il intéresse directement la théorie de la connaissance. C'est, en effet, un énoncé concret de la loi de causalité et, selon toute vraisemblance, un des énoncés les plus primitifs qui aient existé. Toute une conception de la relation causale est impliquée dans le pouvoir qui est ainsi attribué au semblable de produire son semblable ; et cette conception domine la pensée primitive, puisqu'elle sert de base, à la fois, aux pratiques du culte et à la technique du magi</w:t>
      </w:r>
      <w:r w:rsidRPr="00FB35F7">
        <w:rPr>
          <w:rFonts w:ascii="Times" w:hAnsi="Times New Roman" w:cs="Times"/>
        </w:rPr>
        <w:softHyphen/>
      </w:r>
      <w:r w:rsidRPr="00FB35F7">
        <w:rPr>
          <w:rFonts w:ascii="Times New Roman" w:hAnsi="Times New Roman" w:cs="Times"/>
        </w:rPr>
        <w:t>cien. Les origines du précepte sur lequel reposent les rites mimétiques sont donc de nature à éclairer celles du principe de causalité. La genèse de l'un doit nous aider à compren</w:t>
      </w:r>
      <w:r w:rsidRPr="00FB35F7">
        <w:rPr>
          <w:rFonts w:ascii="Times" w:hAnsi="Times New Roman" w:cs="Times"/>
        </w:rPr>
        <w:softHyphen/>
      </w:r>
      <w:r w:rsidRPr="00FB35F7">
        <w:rPr>
          <w:rFonts w:ascii="Times New Roman" w:hAnsi="Times New Roman" w:cs="Times"/>
        </w:rPr>
        <w:t>dre la genèse de l'autre. Or, on vient de faire voir que le premier est un produit de causes sociales : ce sont des groupes qui l'ont élaboré en vue de fins collectives et ce sont des sentiments collectifs qu'il traduit. On peut donc présumer qu'il en est de même du second.</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suffit, en effet, d'analyser le principe de causalité pour s'assurer que les divers éléments dont il est composé ont bien cette origine.</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Ce qui est tout d'abord impliqué dans la notion de relation causale, c'est l'idée d'efficacité, de pouvoir producteur, de force active. On entend communément par cause ce qui est suscep</w:t>
      </w:r>
      <w:r w:rsidRPr="00FB35F7">
        <w:rPr>
          <w:rFonts w:ascii="Times" w:hAnsi="Times New Roman" w:cs="Times"/>
        </w:rPr>
        <w:softHyphen/>
      </w:r>
      <w:r w:rsidRPr="00FB35F7">
        <w:rPr>
          <w:rFonts w:ascii="Times New Roman" w:hAnsi="Times New Roman" w:cs="Times"/>
        </w:rPr>
        <w:t>tible de produire un changement déterminé. La cause, c'est la force avant qu'elle n'ait mani</w:t>
      </w:r>
      <w:r w:rsidRPr="00FB35F7">
        <w:rPr>
          <w:rFonts w:ascii="Times" w:hAnsi="Times New Roman" w:cs="Times"/>
        </w:rPr>
        <w:softHyphen/>
      </w:r>
      <w:r w:rsidRPr="00FB35F7">
        <w:rPr>
          <w:rFonts w:ascii="Times New Roman" w:hAnsi="Times New Roman" w:cs="Times"/>
        </w:rPr>
        <w:t>festé le pouvoir qui est en elle ; l'effet, c'est le même pouvoir, mais actualisé. L'humanité s'est toujours représenté la causalité en termes dynamiques. Sans doute, certains philosophes refusent à cette conception toute valeur objective ; ils n'y voient qu'une construction arbitraire de l'imagination qui ne correspondrait à rien dans les choses. Mais nous n'avons pas à nous demander pour l'instant si elle est fondée ou non dans la réalité : il nous suffit de constater qu'elle existe, qu'elle constitue et qu'elle a toujours constitué un élément de la mentalité commune ; et c'est ce que reconnaissent ceux-là mêmes qui la critiquent. Notre but immédiat est de chercher non ce qu'elle peut valoir logiquement, mais comment elle s'explique.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Or elle dépend de causes sociales. Déjà l'analyse des faits nous a permis de faire voir que le prototype de l'idée de force avait été le mana, le wakan, l'orenda, le principe totémique, noms divers donnés à la force collective, objectivée et projetée dans les choses </w:t>
      </w:r>
      <w:r w:rsidRPr="00FB35F7">
        <w:rPr>
          <w:rStyle w:val="Rimandonotaapidipagina"/>
          <w:rFonts w:ascii="Times" w:hAnsi="Times New Roman" w:cs="Times"/>
        </w:rPr>
        <w:footnoteReference w:id="190"/>
      </w:r>
      <w:r w:rsidRPr="00FB35F7">
        <w:rPr>
          <w:rFonts w:ascii="Times New Roman" w:hAnsi="Times New Roman" w:cs="Times"/>
        </w:rPr>
        <w:t>. Le premier pouvoir que les hommes se sont représenté comme tel semble donc bien avoir été celui que la société exerce sur ses membres. Le raisonnement vient confirmer ce résultat de l'observation ; il est possible, en effet, d'établir pourquoi cette notion de pouvoir, d'efficacité, de force agissante ne peut nous être venue d'une autre source.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est tout d'abord évident et reconnu de tous qu'elle ne saurait nous être fournie par l'expérience externe. Les sens ne nous font voir que des phénomènes qui coexistent ou qui se suivent, mais rien de ce qu'ils perçoivent ne peut nous donner l'idée de cette action contrai</w:t>
      </w:r>
      <w:r w:rsidRPr="00FB35F7">
        <w:rPr>
          <w:rFonts w:ascii="Times" w:hAnsi="Times New Roman" w:cs="Times"/>
        </w:rPr>
        <w:softHyphen/>
      </w:r>
      <w:r w:rsidRPr="00FB35F7">
        <w:rPr>
          <w:rFonts w:ascii="Times New Roman" w:hAnsi="Times New Roman" w:cs="Times"/>
        </w:rPr>
        <w:t>gnante et déterminante qui est caractéristique de ce qu'on appelle un pouvoir ou une force. Ils n'attei</w:t>
      </w:r>
      <w:r w:rsidRPr="00FB35F7">
        <w:rPr>
          <w:rFonts w:ascii="Times" w:hAnsi="Times New Roman" w:cs="Times"/>
        </w:rPr>
        <w:softHyphen/>
      </w:r>
      <w:r w:rsidRPr="00FB35F7">
        <w:rPr>
          <w:rFonts w:ascii="Times New Roman" w:hAnsi="Times New Roman" w:cs="Times"/>
        </w:rPr>
        <w:t>gnent que des états réalisés, acquis, extérieurs les uns aux autres ; mais le processus interne qui relie ces états leur échappe. Rien de ce qu'ils nous apprennent ne saurait nous suggé</w:t>
      </w:r>
      <w:r w:rsidRPr="00FB35F7">
        <w:rPr>
          <w:rFonts w:ascii="Times" w:hAnsi="Times New Roman" w:cs="Times"/>
        </w:rPr>
        <w:softHyphen/>
      </w:r>
      <w:r w:rsidRPr="00FB35F7">
        <w:rPr>
          <w:rFonts w:ascii="Times New Roman" w:hAnsi="Times New Roman" w:cs="Times"/>
        </w:rPr>
        <w:t>rer l'idée de ce qu'est une influence ou une efficacité. C'est précisément pour cette raison que les philosophes de l'empirisme ont vu dans ces différentes conceptions autant d'aberra</w:t>
      </w:r>
      <w:r w:rsidRPr="00FB35F7">
        <w:rPr>
          <w:rFonts w:ascii="Times" w:hAnsi="Times New Roman" w:cs="Times"/>
        </w:rPr>
        <w:softHyphen/>
      </w:r>
      <w:r w:rsidRPr="00FB35F7">
        <w:rPr>
          <w:rFonts w:ascii="Times New Roman" w:hAnsi="Times New Roman" w:cs="Times"/>
        </w:rPr>
        <w:t>tions mythologiques. Mais à supposer même qu'il n'y ait en tout ceci que des hallucinations, encore faut-il dire comment elles sont nées.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Si l'expérience externe n'est pour rien dans la genèse de ces idées, comme, d'autre part, il est inadmissible qu'elles nous soient données toutes faites, on doit supposer qu'elles nous viennent de l'expérience intérieure. En fait, la notion de force est manifestement grosse d'éléments spirituels qui ne peuvent avoir été empruntés qu'à notre vie psychique.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a cru souvent que l'acte par lequel notre volonté clôt une délibération, contient nos penchants, commande à nos organes, avait pu servir de modèle à cette construction. Dans la volition, a-t-on dit, nous nous saisissons directement comme un pouvoir en acte. Une fois donc que l'homme eut cette idée, il n'eut, semble-t-il, qu'à l'étendre aux choses pour que le concept de force fût constitué.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Tant que la théorie animiste passait pour une vérité démontrée, cette explication pouvait paraître confirmée par l'histoire. Si les forces dont la pensée humaine a primitivement peuplé le monde avait réellement été des esprits, c'est-à-dire des êtres personnels et conscients, plus ou moins semblables à l'homme, on pourrait croire, en effet, que notre expérience indivi</w:t>
      </w:r>
      <w:r w:rsidRPr="00FB35F7">
        <w:rPr>
          <w:rFonts w:ascii="Times" w:hAnsi="Times New Roman" w:cs="Times"/>
        </w:rPr>
        <w:softHyphen/>
      </w:r>
      <w:r w:rsidRPr="00FB35F7">
        <w:rPr>
          <w:rFonts w:ascii="Times New Roman" w:hAnsi="Times New Roman" w:cs="Times"/>
        </w:rPr>
        <w:t>duelle a suffi à nous fournir les éléments constitutifs de la notion de force. Mais nous savons que les premières forces qu'ont imaginées les hommes sont, au contraire, des puissances anonymes, vagues, diffuses, qui ressemblent par leur impersonnalité aux forces cosmiques et qui contrastent, par conséquent, de la manière la plus tranchée, avec ce pouvoir éminemment personnel qu'est la volonté humaine. Il est donc impossible qu'elles aient été conçues à l'image de cette dernière.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y a d'ailleurs, un caractère essentiel des forces impersonnelles qui serait inexplicable dans cette hypothèse : c'est leur communicabilité. Les forces de la nature ont toujours été conçues comme susceptibles de passer d'un objet dans un autre, de se mêler, de se combiner, de se transformer les unes dans les autres. C'est même cette propriété qui fait leur valeur explicative; car c'est grâce à elle que les effets peuvent être reliés à leurs causes sans solution de continuité. Or, le moi a un caractère précisément opposé: il est incommunicable. Il ne peut pas changer de substrat, s'étendre de l'un à l'autre; il ne se répand que par métaphore. La manière dont il se décide et exécute ses décisions ne saurait donc nous suggérer l'idée d'une énergie qui se communique, qui peut même se confondre avec d'autres et, par ces combinai</w:t>
      </w:r>
      <w:r w:rsidRPr="00FB35F7">
        <w:rPr>
          <w:rFonts w:ascii="Times" w:hAnsi="Times New Roman" w:cs="Times"/>
        </w:rPr>
        <w:softHyphen/>
      </w:r>
      <w:r w:rsidRPr="00FB35F7">
        <w:rPr>
          <w:rFonts w:ascii="Times New Roman" w:hAnsi="Times New Roman" w:cs="Times"/>
        </w:rPr>
        <w:t>sons et ces mélanges, donner naissance à des effets nouveaux.</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Ainsi, l'idée de force, telle que l'implique le concept de relation causale, doit présenter un double caractère. En premier lieu, elle ne peut nous venir que de notre expérience intérieure ; les seules forces que nous puissions directement atteindre sont nécessairement des forces morales. Mais en même temps, il faut qu'elles soient impersonnelles, puisque la notion de pouvoir impersonnel s'est constituée la première. Or, les seules qui satisfassent à cette double condition sont celles qui se dégagent de la vie en commun : ce sont les forces collectives. En effet, d'une part, elles sont tout entières psychiques ; elles sont faites exclusivement d'idées et de sentiments objectivés. Mais d'un autre côté, elles sont impersonnelles par définition, puisqu'elles sont le produit d'une coopération. oeuvre de tous, elles ne sont la chose de per</w:t>
      </w:r>
      <w:r w:rsidRPr="00FB35F7">
        <w:rPr>
          <w:rFonts w:ascii="Times" w:hAnsi="Times New Roman" w:cs="Times"/>
        </w:rPr>
        <w:softHyphen/>
      </w:r>
      <w:r w:rsidRPr="00FB35F7">
        <w:rPr>
          <w:rFonts w:ascii="Times New Roman" w:hAnsi="Times New Roman" w:cs="Times"/>
        </w:rPr>
        <w:t>son</w:t>
      </w:r>
      <w:r w:rsidRPr="00FB35F7">
        <w:rPr>
          <w:rFonts w:ascii="Times" w:hAnsi="Times New Roman" w:cs="Times"/>
        </w:rPr>
        <w:softHyphen/>
      </w:r>
      <w:r w:rsidRPr="00FB35F7">
        <w:rPr>
          <w:rFonts w:ascii="Times New Roman" w:hAnsi="Times New Roman" w:cs="Times"/>
        </w:rPr>
        <w:t>ne en particulier.</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Elles tiennent si peu à la personnalité des sujets en qui elles résident, qu'elles n'y sont jamais fixées. De même qu'elles les pénètrent du dehors, elles sont toujours prêtes à s'en détacher. Elles tendent d'elles-mêmes à se répandre plus loin et à envahir de nouveaux domaines : il n'en est pas, nous le savons, qui soient plus contagieuses, par conséquent plus communicables. Sans doute, les forces physiques ont la même propriété ; mais nous ne pouvons en avoir directement conscience; nous ne pouvons même les appréhender comme telles, parce qu'elles nous sont extérieures. Quand je me heurte à un obstacle, j'éprouve une sensation de gêne et de malaise ; mais la force qui cause cette sensation n'est pas en moi, elle est dans l'obstacle et, par suite, elle est en dehors du cercle de ma perception. Nous en apercevons les effets, nous ne l'atteignons pas en elle-même. Il en est autrement des forces sociales : elles font partie de notre vie intérieure et, par conséquent, nous ne connaissons pas seulement les produits de leur action ; nous les voyons agir. La force qui isole l'être sacré et qui tient les profanes à distance n'est pas, en réalité, dans cet être ; elle vit dans la conscience des fidèles. Aussi ceux-ci la sentent-ils au moment même où elle agit sur leur volonté pour inhiber certains mouvements ou en commander d'autres. En un mot, cette action contraignante et nécessitante qui nous échappe quand elle vient d'une chose extérieure, nous la saisissons ici sur le vif parce qu'elle se passe tout entière en nous. Sans doute, nous ne l'interprétons pas toujours d'une manière adéquate, mais du moins, nous ne pouvons pas ne pas en avoir conscience.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Au surplus, l'idée de force porte, d'une manière apparente, la marque de son origine. Elle implique, en effet, l'idée de pouvoir qui, à son tour, ne va pas sans celles d'ascendant de maîtrise, de domination, et corrélativement, de dépendance et de subordination ; or, les rela</w:t>
      </w:r>
      <w:r w:rsidRPr="00FB35F7">
        <w:rPr>
          <w:rFonts w:ascii="Times" w:hAnsi="Times New Roman" w:cs="Times"/>
        </w:rPr>
        <w:softHyphen/>
      </w:r>
      <w:r w:rsidRPr="00FB35F7">
        <w:rPr>
          <w:rFonts w:ascii="Times New Roman" w:hAnsi="Times New Roman" w:cs="Times"/>
        </w:rPr>
        <w:t>tions que toutes ces idées expriment sont éminemment sociales. C'est la société qui a classé les êtres en supérieurs et en inférieurs, en maîtres qui commandent et en sujets qui obéissent ; c'est elle qui a conféré aux premiers cette propriété singulière qui rend le commandement efficace et qui constitue le pouvoir. Tout tend donc à prouver que les premiers pouvoirs dont l'esprit humain ait eu la notion sont ceux que les sociétés ont institués en s'organisant : c'est à leur image que les puissances du monde physique ont été conçues. Aussi l'homme n'a-t-il pu arriver à se concevoir comme une force maîtresse du corps où elle réside qu'à condition d'introduire, dans l'idée qu'il se faisait de lui-même, des concepts empruntés à la vie sociale. Il fallait, en effet, qu'il se distinguât de son double physique et qu'il s'attribuât, par rapport à ce dernier, une sorte de dignité supérieure ; en un mot, il fallait qu'il se pensât comme une âme. En fait, c'est bien sous la forme de l'âme qu'il s'est toujours représenté la force qu'il croit être. Mais nous savons que l'âme est tout autre chose qu'un nom donné à la faculté abstraite de se mouvoir, de penser ou de sentir ; c'est, avant tout, un principe religieux, un aspect particulier de la force collective. En définitive, l'homme se sent une âme et, par conséquent, une force parce qu'il est un être social. Bien que l'animal meuve ses membres tout comme nous, bien qu'il ait la même action que nous sur ses muscles, rien ne nous autorise à supposer qu'il ait conscience de lui-même comme d'une cause active et efficace. C'est qu'il n'a pas, ou, pour parler plus exactement, c'est qu'il ne s'attribue pas d'âme. Mais s'il ne s'attribue pas d'âme, c'est qu'il ne participe pas à une vie sociale qui soit comparable à celle des hommes. Il n'existe, chez les animaux, rien qui ressemble à une civilisation </w:t>
      </w:r>
      <w:r w:rsidRPr="00FB35F7">
        <w:rPr>
          <w:rStyle w:val="Rimandonotaapidipagina"/>
          <w:rFonts w:ascii="Times" w:hAnsi="Times New Roman" w:cs="Times"/>
        </w:rPr>
        <w:footnoteReference w:id="191"/>
      </w:r>
      <w:r w:rsidRPr="00FB35F7">
        <w:rPr>
          <w:rFonts w:ascii="Times New Roman" w:hAnsi="Times New Roman" w:cs="Times"/>
        </w:rPr>
        <w:t>.</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Mais la notion de force n'est pas tout le principe de causalité. Celui-ci consiste dans un jugement qui énonce que toute force se développe d'une manière définie, que l'état où elle se trouve à chaque moment de son devenir prédétermine l'état consécutif. On appelle le premier cause, le second effet, et le jugement causal affirme entre ces deux moments de toute force, l'existence d'un lien nécessaire. Ce rapport, l'esprit le pose avant toutes preuves, sous l'empire d'une sorte de contrainte dont il ne peut s'affranchir ; il le postule, comme on dit, a priori.</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De cet apriorisme et de cette nécessité, l'empirisme n'a jamais réussi à rendre compte. Jamais les philosophes de cette école n'ont pu expliquer comment une association d'idées, renforcée par l'habitude, pouvait produire autre chose qu'un état d'attente, une prédisposition, plus ou moins forte, des idées à s'évoquer suivant un ordre déterminé. Or le principe de causalité a un tout autre caractère. Ce n'est pas simplement une tendance immanente de notre pensée à se dérouler d'une certaine manière ; c'est une norme extérieure et supérieure au cours de nos représentations qu'elle domine et qu'elle règle impérativement. elle est investie d'une autorité qui lie l'esprit et le dépasse ; c'est-à-dire que l'esprit n'en est pas l'artisan. Sous ce rapport, il ne sert à rien de substituer, à l'habitude individuelle, l'habitude héréditaire; car l'habitude ne change pas de nature parce quelle dure plus d'une vie d'homme; elle est seulement plus forte. Un instinct n'est pas une règle.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rites qui viennent d'être étudiés permettent d'entrevoir une source, jusqu'à présent peu soupçonnée, de cette autorité. Rappelons-nous, en effet, comment est née la loi causale que les rites imitatifs mettent en pratique. Sous l'empire d'une même préoccupation le groupe s'assem</w:t>
      </w:r>
      <w:r w:rsidRPr="00FB35F7">
        <w:rPr>
          <w:rFonts w:ascii="Times" w:hAnsi="Times New Roman" w:cs="Times"/>
        </w:rPr>
        <w:softHyphen/>
      </w:r>
      <w:r w:rsidRPr="00FB35F7">
        <w:rPr>
          <w:rFonts w:ascii="Times New Roman" w:hAnsi="Times New Roman" w:cs="Times"/>
        </w:rPr>
        <w:t>ble : si l'espèce dont il porte le nom ne se reproduit pas, c'en est fait du clan. Le senti</w:t>
      </w:r>
      <w:r w:rsidRPr="00FB35F7">
        <w:rPr>
          <w:rFonts w:ascii="Times" w:hAnsi="Times New Roman" w:cs="Times"/>
        </w:rPr>
        <w:softHyphen/>
      </w:r>
      <w:r w:rsidRPr="00FB35F7">
        <w:rPr>
          <w:rFonts w:ascii="Times New Roman" w:hAnsi="Times New Roman" w:cs="Times"/>
        </w:rPr>
        <w:t>ment commun qui anime ainsi tous ses membres se traduit au dehors sous forme de gestes déterminés qui reviennent toujours les mêmes dans les mêmes circonstances, et, une fois la cérémonie accomplie, il se trouve, pour les raisons exposées, que le résultat désiré paraît obtenu. Une association se forme donc entre l'idée de ce résultat et celle des gestes qui le précèdent ; et cette association ne varie pas d'un sujet à l'autre ; elle est la même pour tous les acteurs du rite, puisqu'elle est le produit d'une expérience collective. Toutefois, si aucun autre facteur n'intervenait, il ne se produirait qu'un état collectif d'attente ; une fois les gestes mimétiques accomplis, tout le monde s'attendrait, avec plus ou moins de confiance, à voir prochainement apparaître l'événement souhaité; une règle impérative de la pensée ne se constituerait pas pour autant. Mais, comme un intérêt social de première importance est en jeu, la société ne peut laisser les choses suivre leur cours au gré des circonstances ; elle intervient donc activement de manière à en régler la marche conformément à ses besoins. Elle exige que cette cérémonie, dont elle ne peut se passer soit répétée toutes les fois que c'est nécessaire, et, par conséquent, que les mouvements, condition du succès, soient régulière</w:t>
      </w:r>
      <w:r w:rsidRPr="00FB35F7">
        <w:rPr>
          <w:rFonts w:ascii="Times" w:hAnsi="Times New Roman" w:cs="Times"/>
        </w:rPr>
        <w:softHyphen/>
      </w:r>
      <w:r w:rsidRPr="00FB35F7">
        <w:rPr>
          <w:rFonts w:ascii="Times New Roman" w:hAnsi="Times New Roman" w:cs="Times"/>
        </w:rPr>
        <w:t>ment exécutés : elle les impose obligatoirement. Or, ils impliquent une attitude définie de l'esprit qui, par contre-coup, participe de ce même caractère d'obligation. Prescrire qu'on doit imiter l'animal ou la plante pour les déterminer à renaître, c'est poser comme un axiome qui ne doit pas être mis en doute, que le semblable produit le semblable. L'opinion ne peut pas permettre aux individus de nier théoriquement ce principe, sans leur permettre en même temps de le violer dans leur conduite. Elle l'impose donc, tout comme les pratiques qui en dérivent, et ainsi le précepte rituel se double d'un précepte logique qui n'est que l'aspect intellectuel du premier. L'autorité de l'un et celle de l'autre dérivent de la même source la société. Le respect que celle-ci inspire se communique aux manières de penser comme aux manières d'agir auxquelles elle attache du prix. On ne peut s'écarter des unes comme des autres sans se heurter aux résistances de l'opinion ambiante. Voilà pourquoi les premières nécessitent, avant tout examen, l'adhésion de l'intelligence, comme les secondes déterminent immédiatement la soumission de la volonté.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On peut vérifier à nouveau sur cet exemple comment une théorie sociologique de la notion de causalité et, plus généralement, des catégories, s'écarte des doctrines classiques sur la question, tout en les conciliant. Avec l'apriorisme, elle maintient le caractère préjudiciel et nécessaire de la relation causale ; mais elle ne se borne pas à l'affirmer ; elle en rend compte, sans pourtant le faire évanouir sous prétexte de l'expliquer, comme il arrive à l'empirisme. Au reste, il ne saurait être question de nier la part qui revient à l'expérience individuelle. Il n'est pas douteux que, de lui-même, l'individu constate des successions régulières de phénomènes et acquiert ainsi une certaine </w:t>
      </w:r>
      <w:r w:rsidRPr="00FB35F7">
        <w:rPr>
          <w:rFonts w:ascii="Times New Roman" w:hAnsi="Times New Roman" w:cs="Times"/>
          <w:i/>
          <w:iCs/>
        </w:rPr>
        <w:t xml:space="preserve">sensation </w:t>
      </w:r>
      <w:r w:rsidRPr="00FB35F7">
        <w:rPr>
          <w:rFonts w:ascii="Times New Roman" w:hAnsi="Times New Roman" w:cs="Times"/>
        </w:rPr>
        <w:t xml:space="preserve">de régularité. Seulement, cette sensation n'est pas la </w:t>
      </w:r>
      <w:r w:rsidRPr="00FB35F7">
        <w:rPr>
          <w:rFonts w:ascii="Times New Roman" w:hAnsi="Times New Roman" w:cs="Times"/>
          <w:i/>
          <w:iCs/>
        </w:rPr>
        <w:t xml:space="preserve">catégorie </w:t>
      </w:r>
      <w:r w:rsidRPr="00FB35F7">
        <w:rPr>
          <w:rFonts w:ascii="Times New Roman" w:hAnsi="Times New Roman" w:cs="Times"/>
        </w:rPr>
        <w:t>de causalité. La première est individuelle, subjective, incommunicable ; nous la faisons nous-mêmes avec nos observations personnelles. La seconde est l'œuvre de la collec</w:t>
      </w:r>
      <w:r w:rsidRPr="00FB35F7">
        <w:rPr>
          <w:rFonts w:ascii="Times" w:hAnsi="Times New Roman" w:cs="Times"/>
        </w:rPr>
        <w:softHyphen/>
      </w:r>
      <w:r w:rsidRPr="00FB35F7">
        <w:rPr>
          <w:rFonts w:ascii="Times New Roman" w:hAnsi="Times New Roman" w:cs="Times"/>
        </w:rPr>
        <w:t>tivité, elle nous est donnée toute faite. C'est un cadre dans lequel viennent se disposer nos constatations empiriques et qui nous permet de les penser, c'est-à-dire de les voir par un biais grâce auquel nous pouvons nous entendre à leur sujet avec autrui. Sans doute, si le cadre s'applique au contenu, c'est qu'il n'est pas sans rapport avec la matière qu'il contient; mais il ne se confond pas avec elle. Il la dépasse et la domine. C'est qu'il a une autre origine. Ce n'est pas un simple résumé de souvenirs individuels ; il est, avant tout, fait pour répondre à des exigences de la vie commune.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définitive l'erreur de l'empirisme a été de ne voir dans le lien causal qu'une construc</w:t>
      </w:r>
      <w:r w:rsidRPr="00FB35F7">
        <w:rPr>
          <w:rFonts w:ascii="Times" w:hAnsi="Times New Roman" w:cs="Times"/>
        </w:rPr>
        <w:softHyphen/>
      </w:r>
      <w:r w:rsidRPr="00FB35F7">
        <w:rPr>
          <w:rFonts w:ascii="Times New Roman" w:hAnsi="Times New Roman" w:cs="Times"/>
        </w:rPr>
        <w:t>tion savante de la pensée spéculative et le produit d'une généralisation plus ou moins méthodique. Or, à elle seule, la pure spéculation ne peut donner naissance qu'à des vues provisoires, hypothétiques, plus ou moins plausibles, mais qui doivent toujours être tenues en suspicion : car on ne sait pas si, dans l'avenir, quelque observation nouvelle ne viendra pas les infirmer. Un axiome que l'esprit accepte et est tenu d'accepter, sans contrôle comme sans réserves, ne saurait donc nous venir de cette source. Seules, les nécessités de l'action et surtout de l'action collective peuvent et doivent s'exprimer en formules catégoriques, pérem</w:t>
      </w:r>
      <w:r w:rsidRPr="00FB35F7">
        <w:rPr>
          <w:rFonts w:ascii="Times" w:hAnsi="Times New Roman" w:cs="Times"/>
        </w:rPr>
        <w:softHyphen/>
      </w:r>
      <w:r w:rsidRPr="00FB35F7">
        <w:rPr>
          <w:rFonts w:ascii="Times New Roman" w:hAnsi="Times New Roman" w:cs="Times"/>
        </w:rPr>
        <w:t>ptoi</w:t>
      </w:r>
      <w:r w:rsidRPr="00FB35F7">
        <w:rPr>
          <w:rFonts w:ascii="Times" w:hAnsi="Times New Roman" w:cs="Times"/>
        </w:rPr>
        <w:softHyphen/>
      </w:r>
      <w:r w:rsidRPr="00FB35F7">
        <w:rPr>
          <w:rFonts w:ascii="Times New Roman" w:hAnsi="Times New Roman" w:cs="Times"/>
        </w:rPr>
        <w:t>res et tranchantes, qui n'admettent pas la contradiction ; car les mouvements collectifs ne sont possibles qu'à condition d'être concertés, par conséquent réglés et définis. Ils excluent les tâtonnements, source d'anarchie ; ils tendent d'eux-mêmes vers une organisation qui, une fois établie, s'impose aux individus. Et comme l'activité ne peut se passer de l'intelligence, il arrive que celle-ci est entraînée dans la même voie et adopte, sans discussion, les postulats théoriques de la pratique réclame. Les impératifs de la pensée ne sont vraisemblablement qu'une autre face des impératifs de la volonté.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s'en faut d'ailleurs, que nous songions à présenter les observations qui précédent comme une théorie complète du concept de causalité. La question est trop complexe pour pouvoir être ainsi résolue. Le principe de cause a été entendu de manières différentes suivant les temps et les pays ; dans une même société, il varie avec les milieux sociaux, avec les règnes de la nature auxquels il est appliqué </w:t>
      </w:r>
      <w:r w:rsidRPr="00FB35F7">
        <w:rPr>
          <w:rStyle w:val="Rimandonotaapidipagina"/>
          <w:rFonts w:ascii="Times" w:hAnsi="Times New Roman" w:cs="Times"/>
        </w:rPr>
        <w:footnoteReference w:id="192"/>
      </w:r>
      <w:r w:rsidRPr="00FB35F7">
        <w:rPr>
          <w:rFonts w:ascii="Times New Roman" w:hAnsi="Times New Roman" w:cs="Times"/>
        </w:rPr>
        <w:t>. On ne saurait donc, après la considération d'une seule des formes qu'il a présentées dans l'histoire, déterminer avec une suffisante précision les causes et les conditions dont il dépend. Les vues qui viennent d'être exposées ne doivent être regardées que comme des indications qu'il sera nécessaire de contrôler et de compléter. Cependant, comme la loi causale qui vient de nous arrêter est certainement une des plus primitives qui soient et comme elle a joué un rôle considérable dans le développement de la pensée et de l'industrie humaine, elle constitue une expérience privilégiée et, par suite, il est présumable que les remarques dont elle nous a fourni l'occasion sont susceptibles d'être, dans une certaine mesure, généralisées.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Titreniveau1"/>
        <w:rPr>
          <w:rFonts w:ascii="Times New Roman" w:hAnsi="Times New Roman"/>
        </w:rPr>
      </w:pPr>
      <w:bookmarkStart w:id="21" w:name="livre_3_chap_4"/>
      <w:r w:rsidRPr="00FB35F7">
        <w:rPr>
          <w:rFonts w:ascii="Times New Roman" w:hAnsi="Times New Roman"/>
        </w:rPr>
        <w:t>CHAPITRE IV</w:t>
      </w:r>
    </w:p>
    <w:p w:rsidR="003F2F8E" w:rsidRPr="00FB35F7" w:rsidRDefault="003F2F8E">
      <w:pPr>
        <w:jc w:val="both"/>
        <w:rPr>
          <w:rFonts w:ascii="Times New Roman" w:hAnsi="Times New Roman" w:cs="Times"/>
        </w:rPr>
      </w:pPr>
    </w:p>
    <w:p w:rsidR="003F2F8E" w:rsidRPr="00FB35F7" w:rsidRDefault="003F2F8E">
      <w:pPr>
        <w:pStyle w:val="Titreniveau2"/>
        <w:rPr>
          <w:rFonts w:ascii="Times New Roman" w:hAnsi="Times New Roman"/>
        </w:rPr>
      </w:pPr>
      <w:r w:rsidRPr="00FB35F7">
        <w:rPr>
          <w:rFonts w:ascii="Times New Roman" w:hAnsi="Times New Roman"/>
        </w:rPr>
        <w:t>LE CULTE POSITIF</w:t>
      </w:r>
    </w:p>
    <w:bookmarkEnd w:id="21"/>
    <w:p w:rsidR="003F2F8E" w:rsidRPr="00FB35F7" w:rsidRDefault="003F2F8E">
      <w:pPr>
        <w:jc w:val="both"/>
        <w:rPr>
          <w:rFonts w:ascii="Times New Roman" w:hAnsi="Times New Roman" w:cs="Times"/>
        </w:rPr>
      </w:pPr>
    </w:p>
    <w:p w:rsidR="003F2F8E" w:rsidRPr="00FB35F7" w:rsidRDefault="003F2F8E">
      <w:pPr>
        <w:pStyle w:val="suite"/>
        <w:rPr>
          <w:rFonts w:ascii="Times New Roman" w:hAnsi="Times New Roman"/>
        </w:rPr>
      </w:pPr>
      <w:r w:rsidRPr="00FB35F7">
        <w:rPr>
          <w:rFonts w:ascii="Times New Roman" w:hAnsi="Times New Roman"/>
        </w:rPr>
        <w:t>(Suite)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Niveau10"/>
        <w:rPr>
          <w:rFonts w:ascii="Times New Roman" w:hAnsi="Times New Roman"/>
        </w:rPr>
      </w:pPr>
      <w:bookmarkStart w:id="22" w:name="livre_3_chap_4_rites_représentatifs"/>
      <w:r w:rsidRPr="00FB35F7">
        <w:rPr>
          <w:rFonts w:ascii="Times New Roman" w:hAnsi="Times New Roman"/>
        </w:rPr>
        <w:t>III. - Les rites représentatifs ou commémoratifs</w:t>
      </w:r>
    </w:p>
    <w:bookmarkEnd w:id="22"/>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L'explication que nous avons donnée des rites positifs dont il vient d'être question dans les deux chapitres précédents leur attribue une signification, avant tout, morale et sociale. L'efficacité physique que leur prête le fidèle serait le produit d'une interprétation qui dissimulerait leur raison d'être essentielle : c'est parce qu'ils servent à refaire moralement les individus et les groupes qu'ils passent pour avoir une action sur les choses. Mais si cette hypothèse nous a permis de rendre compte des faits, on ne peut dire qu'elle ait été directe</w:t>
      </w:r>
      <w:r w:rsidRPr="00FB35F7">
        <w:rPr>
          <w:rFonts w:ascii="Times" w:hAnsi="Times New Roman" w:cs="Times"/>
        </w:rPr>
        <w:softHyphen/>
      </w:r>
      <w:r w:rsidRPr="00FB35F7">
        <w:rPr>
          <w:rFonts w:ascii="Times New Roman" w:hAnsi="Times New Roman" w:cs="Times"/>
        </w:rPr>
        <w:t>ment démontrée ; elle semble même, au premier abord, se concilier assez mal avec la nature des mécanismes rituels que nous avons analysés. Qu'ils consistent en oblations ou en prati</w:t>
      </w:r>
      <w:r w:rsidRPr="00FB35F7">
        <w:rPr>
          <w:rFonts w:ascii="Times" w:hAnsi="Times New Roman" w:cs="Times"/>
        </w:rPr>
        <w:softHyphen/>
      </w:r>
      <w:r w:rsidRPr="00FB35F7">
        <w:rPr>
          <w:rFonts w:ascii="Times New Roman" w:hAnsi="Times New Roman" w:cs="Times"/>
        </w:rPr>
        <w:t>ques imitatives, les gestes dont ils sont faits visent des fins purement matérielles ; ils ont ou semblent avoir uniquement pour objet de provoquer l'espèce totémique à renaître. Dans ces conditions, n'est-il pas surprenant que leur véritable rôle soit de servir à des fins morales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est vrai que leur fonction physique pourrait bien avoir été exagérée par Spencer et Gillen, même dans les cas où elle est le plus incontestable. Suivant ces auteurs, chaque clan célébrerait son Intichiuma en vue d'assurer aux autres clans un aliment utile, et tout le culte consisterait en une sorte de coopération économique des différents groupes totémiques ; chacun travaillerait pour tous les autres. Mais, d'après Strehlow, cette conception du toté</w:t>
      </w:r>
      <w:r w:rsidRPr="00FB35F7">
        <w:rPr>
          <w:rFonts w:ascii="Times" w:hAnsi="Times New Roman" w:cs="Times"/>
        </w:rPr>
        <w:softHyphen/>
      </w:r>
      <w:r w:rsidRPr="00FB35F7">
        <w:rPr>
          <w:rFonts w:ascii="Times New Roman" w:hAnsi="Times New Roman" w:cs="Times"/>
        </w:rPr>
        <w:t>misme australien serait tout à fait étrangère à la mentalité indigène. « Si, dit-il, les membres d'un groupe totémique, en s'efforçant de multiplier les animaux ou les plantes de l'espèce consacrée, paraissent travailler pour leurs compagnons des autres totems, il faut se garder de voir dans cette collaboration le principe fondamental du totémisme arunta ou loritja. jamais les noirs ne m'ont dit d'eux-mêmes que tel était l'objet de leurs cérémonies. Sans doute, quand je leur en suggérais l'idée et que je la leur exposais, ils la comprenaient et y acquies</w:t>
      </w:r>
      <w:r w:rsidRPr="00FB35F7">
        <w:rPr>
          <w:rFonts w:ascii="Times" w:hAnsi="Times New Roman" w:cs="Times"/>
        </w:rPr>
        <w:softHyphen/>
      </w:r>
      <w:r w:rsidRPr="00FB35F7">
        <w:rPr>
          <w:rFonts w:ascii="Times New Roman" w:hAnsi="Times New Roman" w:cs="Times"/>
        </w:rPr>
        <w:t>çaient. Mais on ne me blâmera pas d'avoir quelque méfiance pour des réponses obtenues dans ces conditions. » Strehlow fait, d'ailleurs, remarquer que cette manière d'interpréter le rite est contredite par ce fait que les animaux ou les végétaux totémiques ne sont pas tous comes</w:t>
      </w:r>
      <w:r w:rsidRPr="00FB35F7">
        <w:rPr>
          <w:rFonts w:ascii="Times" w:hAnsi="Times New Roman" w:cs="Times"/>
        </w:rPr>
        <w:softHyphen/>
      </w:r>
      <w:r w:rsidRPr="00FB35F7">
        <w:rPr>
          <w:rFonts w:ascii="Times New Roman" w:hAnsi="Times New Roman" w:cs="Times"/>
        </w:rPr>
        <w:t>tibles ou utiles ; il en est qui ne servent à rien ; il y en a même de dangereux. Les cérémonies qui les concernent ne sauraient donc avoir des fins alimentaires </w:t>
      </w:r>
      <w:r w:rsidRPr="00FB35F7">
        <w:rPr>
          <w:rStyle w:val="Rimandonotaapidipagina"/>
          <w:rFonts w:ascii="Times" w:hAnsi="Times New Roman" w:cs="Times"/>
        </w:rPr>
        <w:footnoteReference w:id="19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«Quand, conclut notre auteur, on demande aux indigènes quelle est la raison déterminante de ces cérémonies, ils sont unanimes pour répondre : C'est que les ancêtres ont institué les choses ainsi. Voilà pourquoi nous agissons de cette manière, et non pas autrement </w:t>
      </w:r>
      <w:r w:rsidRPr="00FB35F7">
        <w:rPr>
          <w:rStyle w:val="Rimandonotaapidipagina"/>
          <w:rFonts w:ascii="Times" w:hAnsi="Times New Roman" w:cs="Times"/>
        </w:rPr>
        <w:footnoteReference w:id="194"/>
      </w:r>
      <w:r w:rsidRPr="00FB35F7">
        <w:rPr>
          <w:rFonts w:ascii="Times New Roman" w:hAnsi="Times New Roman" w:cs="Times"/>
        </w:rPr>
        <w:t>. » Mais dire que le rite est observé parce qu'il vient des ancêtres, c'est reconnaître que son autorité se confond avec l'autorité de la tradition, chose sociale au premier chef. On le célèbre pour rester fidèle au passé, pour garder à la collectivité sa physionomie morale, et non à cause des effets physiques qu'il peut produire. Ainsi, la manière même dont les fidèles l'expliquent laisse déjà transpirer les raisons profondes dont il procède.</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Mais il y a des cas où cet aspect de cérémonies est immédiatement apparent.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23" w:name="livre_3_chap_4_1"/>
      <w:r w:rsidRPr="00FB35F7">
        <w:rPr>
          <w:rFonts w:ascii="Times New Roman" w:hAnsi="Times New Roman"/>
        </w:rPr>
        <w:t>I</w:t>
      </w:r>
    </w:p>
    <w:bookmarkEnd w:id="23"/>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chez les Warramunga qu'on peut le mieux l'observer </w:t>
      </w:r>
      <w:r w:rsidRPr="00FB35F7">
        <w:rPr>
          <w:rStyle w:val="Rimandonotaapidipagina"/>
          <w:rFonts w:ascii="Times" w:hAnsi="Times New Roman" w:cs="Times"/>
        </w:rPr>
        <w:footnoteReference w:id="19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Chez ce peuple, chaque clan est censé descendre d'un seul et unique ancêtre qui, né en un endroit déterminé, aurait passé son existence terrestre à parcourir la contrée dans tous les sens. C'est lui qui, au cours de ses voyages, aurait donné au pays la forme qu'il présente actuellement; c'est lui qui aurait fait les montagnes et les plaines, les trous d'eau et les ruisseaux, etc. En même temps, il semait sur sa route des germes vivants qui se dégageaient de son corps et qui sont devenus, par suite de réincarnations successives, les membres actuels du clan. Or, la cérémonie qui, chez les Warramunga, correspond exactement à l'Intichiuma des Arunta, a pour objet de commémorer et de représenter l'histoire mythique de l'ancêtre. Il n'est question ni d'oblation, ni, sauf dans un cas unique </w:t>
      </w:r>
      <w:r w:rsidRPr="00FB35F7">
        <w:rPr>
          <w:rStyle w:val="Rimandonotaapidipagina"/>
          <w:rFonts w:ascii="Times" w:hAnsi="Times New Roman" w:cs="Times"/>
        </w:rPr>
        <w:footnoteReference w:id="196"/>
      </w:r>
      <w:r w:rsidRPr="00FB35F7">
        <w:rPr>
          <w:rFonts w:ascii="Times New Roman" w:hAnsi="Times New Roman" w:cs="Times"/>
        </w:rPr>
        <w:t>, de pratiques mimétiques. Le rite consiste uniquement à rappeler le passé et à le rendre, en quelque sorte, présent au moyen d'une véritable représentation dramatique. Le mot est d'autant plus de circonstance que l'officiant, en ce cas, n'est aucunement considéré comme une incarnation de l'ancêtre qu'il représente ; c'est un acteur qui joue un rôle.</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Voici, à titre d'exemple, en quoi consiste l'Intichiuma du Serpent noir, tel que l'ont observé Spencer et Gillet </w:t>
      </w:r>
      <w:r w:rsidRPr="00FB35F7">
        <w:rPr>
          <w:rStyle w:val="Rimandonotaapidipagina"/>
          <w:rFonts w:ascii="Times" w:hAnsi="Times New Roman" w:cs="Times"/>
        </w:rPr>
        <w:footnoteReference w:id="197"/>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Une première cérémonie ne semble pas se référer au passé ; du moins, la description qu'on nous en donne n'autorise pas à l'interpréter dans ce sens. Elle consiste en courses et en sauts qu'exécutent deux officiants </w:t>
      </w:r>
      <w:r w:rsidRPr="00FB35F7">
        <w:rPr>
          <w:rStyle w:val="Rimandonotaapidipagina"/>
          <w:rFonts w:ascii="Times" w:hAnsi="Times New Roman" w:cs="Times"/>
        </w:rPr>
        <w:footnoteReference w:id="198"/>
      </w:r>
      <w:r w:rsidRPr="00FB35F7">
        <w:rPr>
          <w:rFonts w:ascii="Times New Roman" w:hAnsi="Times New Roman" w:cs="Times"/>
        </w:rPr>
        <w:t>, décorés de dessins qui représentent le serpent noir. Quand, enfin, ils tombent épuisés sur le sol, les assistants passent doucement la main sur les dessins emblématiques dont le dos des deux acteurs est recouvert. On dit que ce geste plaît au serpent noir. - C'est seulement ensuite que commence la série des cérémonies commémo</w:t>
      </w:r>
      <w:r w:rsidRPr="00FB35F7">
        <w:rPr>
          <w:rFonts w:ascii="Times" w:hAnsi="Times New Roman" w:cs="Times"/>
        </w:rPr>
        <w:softHyphen/>
      </w:r>
      <w:r w:rsidRPr="00FB35F7">
        <w:rPr>
          <w:rFonts w:ascii="Times New Roman" w:hAnsi="Times New Roman" w:cs="Times"/>
        </w:rPr>
        <w:t>ratives.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Elles mettent en action l'histoire mythique de l'ancêtre Thalaualla, depuis qu'il est sorti du sol jusqu'au moment où il y est définitivement rentré. Elles le suivent à travers tous ses voyages. Dans chacune des localités où il a séjourné, il a, d'après le mythe, célébré des cérémonies totémiques; on les répète dans l'ordre même où elles passent pour s'être succédé à l'origine. Le mouvement qui revient le plus fréquemment consiste en une sorte de trémousse</w:t>
      </w:r>
      <w:r w:rsidRPr="00FB35F7">
        <w:rPr>
          <w:rFonts w:ascii="Times" w:hAnsi="Times New Roman" w:cs="Times"/>
        </w:rPr>
        <w:softHyphen/>
      </w:r>
      <w:r w:rsidRPr="00FB35F7">
        <w:rPr>
          <w:rFonts w:ascii="Times New Roman" w:hAnsi="Times New Roman" w:cs="Times"/>
        </w:rPr>
        <w:t>ment rythmé et violent du corps tout entier ; c'est que l'ancêtre s'agitait ainsi aux temps mythiques pour faire sortit de lui les germes de vie qui y étaient inclus. Les acteurs ont la peau couverte d'un duvet qui, par suite de ces secousses, se détache et s'envole; c'est une manière de figurer l'envolée de ces germes mystiques et leur dispersion dans l'espace.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se rappelle que, chez les Arunta, la place où se déroule la cérémonie est rituellement déterminée : c'est l'endroit où se trouvent les rochers les arbres, les trous d'eau sacrés, et il faut que les fidèles s'y transportent pour célébrer le culte. Chez les Warramunga, au contraire, le terrain cérémoniel est choisi arbitrairement pour des raisons d'opportunité. C'est une scène conventionnelle. Seulement, le lieu oh se sont passés les événements dont la reproduction constitue le thème du rite est lui-même représenté au moyen de dessins. Parfois, ces dessins sont exécutés sur le corps même des acteurs. Par exemple, un petit cercle coloré en rouge, peint sur le dos et sur l'estomac, représente un trou d'eau </w:t>
      </w:r>
      <w:r w:rsidRPr="00FB35F7">
        <w:rPr>
          <w:rStyle w:val="Rimandonotaapidipagina"/>
          <w:rFonts w:ascii="Times" w:hAnsi="Times New Roman" w:cs="Times"/>
        </w:rPr>
        <w:footnoteReference w:id="199"/>
      </w:r>
      <w:r w:rsidRPr="00FB35F7">
        <w:rPr>
          <w:rFonts w:ascii="Times New Roman" w:hAnsi="Times New Roman" w:cs="Times"/>
        </w:rPr>
        <w:t>. Dans d'autres cas, c'est sur le sol que l'image est tracée. Sur la terre, préalablement détrempée et recouverte d'ocre rouge, on dessine des lignes courbes, formées par des séries de points blancs, qui symbolisent un ruisseau ou une montagne. C'est un commencement de décor.</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Outre les cérémonies proprement religieuses que l'ancêtre passe pour avoir célébrées autrefois, on représente de simples épisodes, ou épiques ou comiques, de sa carrière terrestre. Ainsi, à un moment donné, tandis que trois acteurs sont en scène, occupés à un rite important, un autre se dissimule derrière un bouquet d'arbres, situé à quelque distance. Autour de son cou est attaché un paquet de duvet qui figure un </w:t>
      </w:r>
      <w:r w:rsidRPr="00FB35F7">
        <w:rPr>
          <w:rFonts w:ascii="Times New Roman" w:hAnsi="Times New Roman" w:cs="Times"/>
          <w:i/>
          <w:iCs/>
        </w:rPr>
        <w:t xml:space="preserve">wallaby. </w:t>
      </w:r>
      <w:r w:rsidRPr="00FB35F7">
        <w:rPr>
          <w:rFonts w:ascii="Times New Roman" w:hAnsi="Times New Roman" w:cs="Times"/>
        </w:rPr>
        <w:t>Dès que la cérémonie principale a pris fin, un vieillard trace sur le sol une ligne qui se dirige vers l'endroit où se cache le qua</w:t>
      </w:r>
      <w:r w:rsidRPr="00FB35F7">
        <w:rPr>
          <w:rFonts w:ascii="Times" w:hAnsi="Times New Roman" w:cs="Times"/>
        </w:rPr>
        <w:softHyphen/>
      </w:r>
      <w:r w:rsidRPr="00FB35F7">
        <w:rPr>
          <w:rFonts w:ascii="Times New Roman" w:hAnsi="Times New Roman" w:cs="Times"/>
        </w:rPr>
        <w:t xml:space="preserve">trième acteur. Les autres marchent derrière, les yeux baissés et fixés sur cette ligne, comme s'ils suivaient une piste. En découvrant l'homme, ils prennent un air stupéfait et l'un d'eux le frappe d'un bâton. Toute cette mimique représente un incident de la vie du grand serpent noir. Un jour, son fils s'en alla seul à la chasse, prit un </w:t>
      </w:r>
      <w:r w:rsidRPr="00FB35F7">
        <w:rPr>
          <w:rFonts w:ascii="Times New Roman" w:hAnsi="Times New Roman" w:cs="Times"/>
          <w:i/>
          <w:iCs/>
        </w:rPr>
        <w:t xml:space="preserve">wallaby </w:t>
      </w:r>
      <w:r w:rsidRPr="00FB35F7">
        <w:rPr>
          <w:rFonts w:ascii="Times New Roman" w:hAnsi="Times New Roman" w:cs="Times"/>
        </w:rPr>
        <w:t>et le mangea sans en rien donner à son père. Ce dernier suivit ses traces, le surprit et lui fit rendre gorge de force ; c'est à quoi fait allusion la bastonnade qui termine la représentation </w:t>
      </w:r>
      <w:r w:rsidRPr="00FB35F7">
        <w:rPr>
          <w:rStyle w:val="Rimandonotaapidipagina"/>
          <w:rFonts w:ascii="Times" w:hAnsi="Times New Roman" w:cs="Times"/>
        </w:rPr>
        <w:footnoteReference w:id="20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ne dirons pas ici tous les événements mythiques qui sont successivement représentés. Les exemples qui précèdent suffisent à montrer quel est le caractère de ces céré</w:t>
      </w:r>
      <w:r w:rsidRPr="00FB35F7">
        <w:rPr>
          <w:rFonts w:ascii="Times" w:hAnsi="Times New Roman" w:cs="Times"/>
        </w:rPr>
        <w:softHyphen/>
      </w:r>
      <w:r w:rsidRPr="00FB35F7">
        <w:rPr>
          <w:rFonts w:ascii="Times New Roman" w:hAnsi="Times New Roman" w:cs="Times"/>
        </w:rPr>
        <w:t>mo</w:t>
      </w:r>
      <w:r w:rsidRPr="00FB35F7">
        <w:rPr>
          <w:rFonts w:ascii="Times" w:hAnsi="Times New Roman" w:cs="Times"/>
        </w:rPr>
        <w:softHyphen/>
      </w:r>
      <w:r w:rsidRPr="00FB35F7">
        <w:rPr>
          <w:rFonts w:ascii="Times New Roman" w:hAnsi="Times New Roman" w:cs="Times"/>
        </w:rPr>
        <w:t>nies : ce sont des drames, niais d'un genre tout particulier : ils agissent, ou, du moins, on croit qu'ils agissent sur le cours de la nature. Quand la commémoration du Thalaualla est termi</w:t>
      </w:r>
      <w:r w:rsidRPr="00FB35F7">
        <w:rPr>
          <w:rFonts w:ascii="Times" w:hAnsi="Times New Roman" w:cs="Times"/>
        </w:rPr>
        <w:softHyphen/>
      </w:r>
      <w:r w:rsidRPr="00FB35F7">
        <w:rPr>
          <w:rFonts w:ascii="Times New Roman" w:hAnsi="Times New Roman" w:cs="Times"/>
        </w:rPr>
        <w:t>née, les Warramunga sont convaincus que les serpents noirs ne peuvent manquer de croître et de se multiplier. Ces drames sont donc des rites, et même des rites comparables de tout point, par la nature de leur efficacité, à ceux qui constituent l'Intichiuma des Arunta.</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Aussi les uns et les autres sont-ils de nature à s'éclairer mutuellement. Il est même d'autant plus légitime de les rapprocher qu'il n'y a pas entre eux de solution de continuité. Non seulement le but poursuivi est le même dans les deux cas, mais ce qu'a de plus caracté</w:t>
      </w:r>
      <w:r w:rsidRPr="00FB35F7">
        <w:rPr>
          <w:rFonts w:ascii="Times" w:hAnsi="Times New Roman" w:cs="Times"/>
        </w:rPr>
        <w:softHyphen/>
      </w:r>
      <w:r w:rsidRPr="00FB35F7">
        <w:rPr>
          <w:rFonts w:ascii="Times New Roman" w:hAnsi="Times New Roman" w:cs="Times"/>
        </w:rPr>
        <w:t>ris</w:t>
      </w:r>
      <w:r w:rsidRPr="00FB35F7">
        <w:rPr>
          <w:rFonts w:ascii="Times" w:hAnsi="Times New Roman" w:cs="Times"/>
        </w:rPr>
        <w:softHyphen/>
      </w:r>
      <w:r w:rsidRPr="00FB35F7">
        <w:rPr>
          <w:rFonts w:ascii="Times New Roman" w:hAnsi="Times New Roman" w:cs="Times"/>
        </w:rPr>
        <w:t>tique le rituel warramunga se trouve déjà dans l'autre à l'état de germe. L'Intichiuma, tel que le pratiquent généralement les Arunta, contient, en effet, en soi une sorte de commémo</w:t>
      </w:r>
      <w:r w:rsidRPr="00FB35F7">
        <w:rPr>
          <w:rFonts w:ascii="Times" w:hAnsi="Times New Roman" w:cs="Times"/>
        </w:rPr>
        <w:softHyphen/>
      </w:r>
      <w:r w:rsidRPr="00FB35F7">
        <w:rPr>
          <w:rFonts w:ascii="Times New Roman" w:hAnsi="Times New Roman" w:cs="Times"/>
        </w:rPr>
        <w:t>ration implicite. Les lieux où il est célébré sont, obligatoirement, ceux qu'ont illustrés les ancêtres. Les chemins par lesquels passent les fidèles au cours de leurs pieux pèlerinages sont ceux qu'ont parcourus les héros de l'Alcheringa ; les endroits où l'on s'arrête pour procéder aux rites sont ceux où les aïeux eux-mêmes ont séjourné, où ils se sont évanouis dans le sol, etc. Tout rappelle donc leur souvenir à l'esprit des assistants. D'ailleurs, aux rites manuels s'ajoutent très souvent des chants qui racontent les exploits ancestraux </w:t>
      </w:r>
      <w:r w:rsidRPr="00FB35F7">
        <w:rPr>
          <w:rStyle w:val="Rimandonotaapidipagina"/>
          <w:rFonts w:ascii="Times" w:hAnsi="Times New Roman" w:cs="Times"/>
        </w:rPr>
        <w:footnoteReference w:id="201"/>
      </w:r>
      <w:r w:rsidRPr="00FB35F7">
        <w:rPr>
          <w:rFonts w:ascii="Times New Roman" w:hAnsi="Times New Roman" w:cs="Times"/>
        </w:rPr>
        <w:t>. Que ces récits, au lieu d'être dits, soient mimés, que, sous cette forme nouvelle, ils se développent de manière à devenir la partie essentielle de la cérémonie, et l'on aura la cérémonie des Warramunga. Il y a plus ; par un côté, l'Intichiuma arunta est déjà une sorte de représentation. L'officiant, en effet, ne fait qu'un avec l'ancêtre dont il est descendu et qu'il réincarne </w:t>
      </w:r>
      <w:r w:rsidRPr="00FB35F7">
        <w:rPr>
          <w:rStyle w:val="Rimandonotaapidipagina"/>
          <w:rFonts w:ascii="Times" w:hAnsi="Times New Roman" w:cs="Times"/>
        </w:rPr>
        <w:footnoteReference w:id="202"/>
      </w:r>
      <w:r w:rsidRPr="00FB35F7">
        <w:rPr>
          <w:rFonts w:ascii="Times New Roman" w:hAnsi="Times New Roman" w:cs="Times"/>
        </w:rPr>
        <w:t>. Les gestes qu'il fait sont ceux que faisait cet ancêtre dans les mêmes circonstances. Sans doute, à parler exacte</w:t>
      </w:r>
      <w:r w:rsidRPr="00FB35F7">
        <w:rPr>
          <w:rFonts w:ascii="Times" w:hAnsi="Times New Roman" w:cs="Times"/>
        </w:rPr>
        <w:softHyphen/>
      </w:r>
      <w:r w:rsidRPr="00FB35F7">
        <w:rPr>
          <w:rFonts w:ascii="Times New Roman" w:hAnsi="Times New Roman" w:cs="Times"/>
        </w:rPr>
        <w:t>ment, il ne joue pas le personnage ancestral, comme pourrait le faire un acteur ; il est ce personnage même. Il n'en reste pas moins que, en un sens c'est le héros qui occupe la scène. Pour que le caractère représentatif du rite s'accentue, il suffira que la dualité de l'ancê</w:t>
      </w:r>
      <w:r w:rsidRPr="00FB35F7">
        <w:rPr>
          <w:rFonts w:ascii="Times" w:hAnsi="Times New Roman" w:cs="Times"/>
        </w:rPr>
        <w:softHyphen/>
      </w:r>
      <w:r w:rsidRPr="00FB35F7">
        <w:rPr>
          <w:rFonts w:ascii="Times New Roman" w:hAnsi="Times New Roman" w:cs="Times"/>
        </w:rPr>
        <w:t>tre et de l'officiant s'accuse davantage ; c'est précisément ce qui arrive chez les Warramunga </w:t>
      </w:r>
      <w:r w:rsidRPr="00FB35F7">
        <w:rPr>
          <w:rStyle w:val="Rimandonotaapidipagina"/>
          <w:rFonts w:ascii="Times" w:hAnsi="Times New Roman" w:cs="Times"/>
        </w:rPr>
        <w:footnoteReference w:id="203"/>
      </w:r>
      <w:r w:rsidRPr="00FB35F7">
        <w:rPr>
          <w:rFonts w:ascii="Times New Roman" w:hAnsi="Times New Roman" w:cs="Times"/>
        </w:rPr>
        <w:t>. Même chez les Arunta, on cite au moins un Intichiuma où certaines personnes sont chargées de représenter des ancêtres avec lesquels elles n'ont aucun rapport de filiation mythique, et où, par suite, il y a représentation dramatique proprement dite : c'est l'Intichiuma de l'Émou </w:t>
      </w:r>
      <w:r w:rsidRPr="00FB35F7">
        <w:rPr>
          <w:rStyle w:val="Rimandonotaapidipagina"/>
          <w:rFonts w:ascii="Times" w:hAnsi="Times New Roman" w:cs="Times"/>
        </w:rPr>
        <w:footnoteReference w:id="204"/>
      </w:r>
      <w:r w:rsidRPr="00FB35F7">
        <w:rPr>
          <w:rFonts w:ascii="Times New Roman" w:hAnsi="Times New Roman" w:cs="Times"/>
        </w:rPr>
        <w:t>. Dans ce cas également, contrairement à ce qui se passe d'ordinaire chez ce peuple, il semble bien que le théâtre de la cérémonie soit artificiellement aménagé </w:t>
      </w:r>
      <w:r w:rsidRPr="00FB35F7">
        <w:rPr>
          <w:rStyle w:val="Rimandonotaapidipagina"/>
          <w:rFonts w:ascii="Times" w:hAnsi="Times New Roman" w:cs="Times"/>
        </w:rPr>
        <w:footnoteReference w:id="20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De ce que ces deux sortes de cérémonies, malgré les différences qui les séparent, ont ainsi comme un air de parenté, il ne suit pas qu'il y ait entre elles un rapport défini de succession, que l'une soit une transformation de l'autre. Il peut très bien se faire que les ressemblances signalées viennent de ce qu'elles sont toutes deux issues d'une même souche, c'est-à-dire d'une même cérémonie originelle dont elles seraient des modalités divergentes : nous verrons même que cette hypothèse est la plus vraisemblable. Mais, sans qu'il soit nécessaire de prendre un parti sur cette question, ce qui précède suffit à établir que ce sont des rites de même nature. Nous sommes donc fondés à les comparer et à nous servir de l'un pour nous aider à mieux comprendre l'autre.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Or, ce qu'ont de particulier les cérémonies Warramunga dont nous venons de parler, c'est qu'il n'y est pas fait un geste dont l'objet soit d'aider ou de provoquer directement l'espèce totémique à renaître </w:t>
      </w:r>
      <w:r w:rsidRPr="00FB35F7">
        <w:rPr>
          <w:rStyle w:val="Rimandonotaapidipagina"/>
          <w:rFonts w:ascii="Times" w:hAnsi="Times New Roman" w:cs="Times"/>
        </w:rPr>
        <w:footnoteReference w:id="206"/>
      </w:r>
      <w:r w:rsidRPr="00FB35F7">
        <w:rPr>
          <w:rFonts w:ascii="Times New Roman" w:hAnsi="Times New Roman" w:cs="Times"/>
        </w:rPr>
        <w:t>. Si l'on analyse les mouvements effectués comme les paroles pronon</w:t>
      </w:r>
      <w:r w:rsidRPr="00FB35F7">
        <w:rPr>
          <w:rFonts w:ascii="Times" w:hAnsi="Times New Roman" w:cs="Times"/>
        </w:rPr>
        <w:softHyphen/>
      </w:r>
      <w:r w:rsidRPr="00FB35F7">
        <w:rPr>
          <w:rFonts w:ascii="Times New Roman" w:hAnsi="Times New Roman" w:cs="Times"/>
        </w:rPr>
        <w:t>cées, on  n'y trouve généralement rien qui décèle aucune intention de ce genre. Tout se passe en représentations qui ne peuvent être destinées qu'à rendre présent aux esprits le passé mythique du clan. Mais la mythologie d'un groupe, c'est l'ensemble des croyances communes à ce groupe. Ce qu'expriment les traditions dont elle perpétue le souvenir, c'est la manière dont la société se représente l'homme et le monde ; c'est une morale et une cosmologie en même temps qu'une histoire. Le rite ne sert donc et ne peut servir qu'à entretenir la vitalité de ces croyances, à empêcher qu'elles ne s'effacent des mémoires, c'est-à-dire, en somme, à revivifier les éléments les plus essentiels de la conscience collective. Par lui, le groupe rani</w:t>
      </w:r>
      <w:r w:rsidRPr="00FB35F7">
        <w:rPr>
          <w:rFonts w:ascii="Times" w:hAnsi="Times New Roman" w:cs="Times"/>
        </w:rPr>
        <w:softHyphen/>
      </w:r>
      <w:r w:rsidRPr="00FB35F7">
        <w:rPr>
          <w:rFonts w:ascii="Times New Roman" w:hAnsi="Times New Roman" w:cs="Times"/>
        </w:rPr>
        <w:t>me périodiquement le sentiment qu'il a de lui-même et de son unité ; en même temps, les individus sont réaffermis dans leur nature d'êtres sociaux. Les glorieux souvenirs qu'on fait revivre sous leurs yeux et dont ils se sentent solidaires leur donnent une impression de force et de confiance : on est plus assuré dans sa foi quand on voit à quel passé lointain elle remon</w:t>
      </w:r>
      <w:r w:rsidRPr="00FB35F7">
        <w:rPr>
          <w:rFonts w:ascii="Times" w:hAnsi="Times New Roman" w:cs="Times"/>
        </w:rPr>
        <w:softHyphen/>
      </w:r>
      <w:r w:rsidRPr="00FB35F7">
        <w:rPr>
          <w:rFonts w:ascii="Times New Roman" w:hAnsi="Times New Roman" w:cs="Times"/>
        </w:rPr>
        <w:t>te et les grandes choses qu'elle a inspirées. C'est ce caractère de la cérémonie qui la rend instructive. Elle tend tout entière à agir sur les consciences et sur elles seules. Si donc on croit cependant qu'elle agit sur les choses, qu'elle assure la prospérité de l'espèce, ce ne peut être que par un contrecoup de l'action morale qu'elle exerce et qui, de toute évidence, est la seule qui soit réelle. Ainsi, l'hypothèse que nous avons proposée se trouve vérifiée par une expérience significative, et la vérification est d'autant plus probante que, comme nous venons de l'établir, entre le système rituel des Warramunga et celui des Arunta il n'y a pas de différence de nature. L'un ne fait que mettre plus clairement en évidence ce que nous avions déjà conjecturé de l'autre.</w:t>
      </w: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24" w:name="livre_3_chap_4_2"/>
      <w:r w:rsidRPr="00FB35F7">
        <w:rPr>
          <w:rFonts w:ascii="Times New Roman" w:hAnsi="Times New Roman"/>
        </w:rPr>
        <w:t>II</w:t>
      </w:r>
    </w:p>
    <w:bookmarkEnd w:id="24"/>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il existe des cérémonies où ce caractère représentatif et idéaliste est encore plus accentué.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Dans celles dont il vient d'être question, la représentation dramatique n'était pas là pour elle-même : elle n'était qu'un moyen en vue d'une fin toute matérielle, la reproduction de l'espèce totémique. Mais il en est d'autres qui ne diffèrent pas spécifiquement des précédentes et d'où, pourtant, toute préoccupation de ce genre est absente. On y représente le passé dans le seul but de le représenter, de le graver plus profondément dans les esprits, sans qu'on attende du rite aucune action déterminée sur la nature. Tout au moins, les effets physiques qui lui sont parfois imputés sont tout à fait au second plan et sans rapport avec l'importance liturgique qui lui est attribuée.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le cas notamment des fêtes que les Warramunga célèbrent en l'honneur du serpent Wollunqua </w:t>
      </w:r>
      <w:r w:rsidRPr="00FB35F7">
        <w:rPr>
          <w:rStyle w:val="Rimandonotaapidipagina"/>
          <w:rFonts w:ascii="Times" w:hAnsi="Times New Roman" w:cs="Times"/>
        </w:rPr>
        <w:footnoteReference w:id="207"/>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Wollunqua est, comme nous l'avons déjà dit, un totem d'un genre très particulier. Ce n'est pas une espèce animale ou végétale, mais un être unique : il n'existe qu'un Wollunqua. De plus, cet être est purement mythique. Les indigènes se le représentent comme une sorte de serpent colossal dont la taille est telle que, quand il se dresse sur la queue, sa tête se perd dans les nuages. 11 réside, croit-on, dans un trou d'eau, appelé Thapauerlu, qui est caché au fond d'une vallée solitaire. Mais s'il diffère par certains côtés des totems ordinaires, il en a cependant tous les caractères distinctifs. Il sert de nom collectif et d'emblème à tout un groupe d'individus qui voient en lui leur commun ancêtre, et les rapports qu'ils soutiennent avec cette bête mythique sont identiques à ceux que les membres des autres totems croient soutenir avec les fondateurs de leurs clans respectifs. Au temps de l'Alcheringa </w:t>
      </w:r>
      <w:r w:rsidRPr="00FB35F7">
        <w:rPr>
          <w:rStyle w:val="Rimandonotaapidipagina"/>
          <w:rFonts w:ascii="Times" w:hAnsi="Times New Roman" w:cs="Times"/>
        </w:rPr>
        <w:footnoteReference w:id="208"/>
      </w:r>
      <w:r w:rsidRPr="00FB35F7">
        <w:rPr>
          <w:rFonts w:ascii="Times New Roman" w:hAnsi="Times New Roman" w:cs="Times"/>
        </w:rPr>
        <w:t xml:space="preserve">, le Wollunqua parcourait en tous sens le pays. Dans les différentes localités où il s'arrêtait, il essaimait des </w:t>
      </w:r>
      <w:r w:rsidRPr="00FB35F7">
        <w:rPr>
          <w:rFonts w:ascii="Times New Roman" w:hAnsi="Times New Roman" w:cs="Times"/>
          <w:i/>
          <w:iCs/>
        </w:rPr>
        <w:t xml:space="preserve">spirit-children, </w:t>
      </w:r>
      <w:r w:rsidRPr="00FB35F7">
        <w:rPr>
          <w:rFonts w:ascii="Times New Roman" w:hAnsi="Times New Roman" w:cs="Times"/>
        </w:rPr>
        <w:t>des principes spirituels, qui servent encore d'âmes aux vivants d'aujourd'hui. Le Wollunqua est même considéré comme une sorte de totem éminent. Les Warramunga sont divisés en deux phratries appelées l'une Uluuru, et l'autre Kingilli. Presque tous les totems de la première sont des serpents d'espèces différentes. Or ils passent tous pour être descendus du Wollunqua : on dit qu'il est leur grand-père </w:t>
      </w:r>
      <w:r w:rsidRPr="00FB35F7">
        <w:rPr>
          <w:rStyle w:val="Rimandonotaapidipagina"/>
          <w:rFonts w:ascii="Times" w:hAnsi="Times New Roman" w:cs="Times"/>
        </w:rPr>
        <w:footnoteReference w:id="209"/>
      </w:r>
      <w:r w:rsidRPr="00FB35F7">
        <w:rPr>
          <w:rFonts w:ascii="Times New Roman" w:hAnsi="Times New Roman" w:cs="Times"/>
        </w:rPr>
        <w:t>. On peut entrevoir par là comment, selon toute vraisemblance, le mythe du Wollunqua a pris naissance. Pour expliquer la présence, dans une même phratrie, de tant de totems similaires, on a imaginé qu'ils étaient tous dérivés d'un seul et même totem; seulement, on dut nécessairement lui prêter des formes gigantesques afin que, par son aspect même, il fût en rapport avec le rôle considérable qui lui était assigné dans l'histoire de la tribu.</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Or le Wollunqua est l'objet de cérémonies qui ne diffèrent pas en nature de celles que nous avons précédemment étudiées : ce sont des représentations où sont figurés les princi</w:t>
      </w:r>
      <w:r w:rsidRPr="00FB35F7">
        <w:rPr>
          <w:rFonts w:ascii="Times" w:hAnsi="Times New Roman" w:cs="Times"/>
        </w:rPr>
        <w:softHyphen/>
      </w:r>
      <w:r w:rsidRPr="00FB35F7">
        <w:rPr>
          <w:rFonts w:ascii="Times New Roman" w:hAnsi="Times New Roman" w:cs="Times"/>
        </w:rPr>
        <w:t>paux événements de sa vie fabuleuse. On le montre sortant de terre, passant d'une localité dans l'autre ; on représente les divers épisodes de ses voyages, etc. Spencer et GILLEN ont assisté à quinze cérémonies de ce genre qui se sont succédé du 27 juillet au 23 août, s'enchaî</w:t>
      </w:r>
      <w:r w:rsidRPr="00FB35F7">
        <w:rPr>
          <w:rFonts w:ascii="Times" w:hAnsi="Times New Roman" w:cs="Times"/>
        </w:rPr>
        <w:softHyphen/>
      </w:r>
      <w:r w:rsidRPr="00FB35F7">
        <w:rPr>
          <w:rFonts w:ascii="Times New Roman" w:hAnsi="Times New Roman" w:cs="Times"/>
        </w:rPr>
        <w:t>nant les unes aux autres suivant un ordre déterminé, de manière à former un véritable cycle </w:t>
      </w:r>
      <w:r w:rsidRPr="00FB35F7">
        <w:rPr>
          <w:rStyle w:val="Rimandonotaapidipagina"/>
          <w:rFonts w:ascii="Times" w:hAnsi="Times New Roman" w:cs="Times"/>
        </w:rPr>
        <w:footnoteReference w:id="210"/>
      </w:r>
      <w:r w:rsidRPr="00FB35F7">
        <w:rPr>
          <w:rFonts w:ascii="Times New Roman" w:hAnsi="Times New Roman" w:cs="Times"/>
        </w:rPr>
        <w:t>. Par le détail des rites qui la constituent, cette longue fête est donc indistincte de l'Intichiuma ordinaire des Warramunga; c'est ce que reconnaissent les auteurs qui nous l'ont décrite </w:t>
      </w:r>
      <w:r w:rsidRPr="00FB35F7">
        <w:rPr>
          <w:rStyle w:val="Rimandonotaapidipagina"/>
          <w:rFonts w:ascii="Times" w:hAnsi="Times New Roman" w:cs="Times"/>
        </w:rPr>
        <w:footnoteReference w:id="211"/>
      </w:r>
      <w:r w:rsidRPr="00FB35F7">
        <w:rPr>
          <w:rFonts w:ascii="Times New Roman" w:hAnsi="Times New Roman" w:cs="Times"/>
        </w:rPr>
        <w:t>. Mais, d'un autre côté, c'est un Intichiuma qui ne saurait avoir pour objet d'assurer la fécondité d'une espèce animale ou végétale, puisque le Wollunqua est, à lui seul, sa propre espèce et qu'il ne se reproduit pas. Il est; et les indigènes ne paraissent pas avoir le sentiment qu'il ait besoin d'un culte pour persévérer dans son être. Non seulement ces cérémonies n'ont pas l'efficacité de l'Intichiuma classique, mais il ne semble pas qu'elles aient une efficacité matérielle d'aucune sorte. Le Wollunqua n'est pas une divinité préposée à un ordre déterminé de phénomènes naturels et, par suite, on n'attend de lui, en échange du culte, aucun service défini. On dit bien que, si les prescriptions rituelles sont mal observées, le Wollunqua se fâche, sort de sa retraite et vient se venger sur ses fidèles de leurs négligences. Inversement, quand tout s'est régulièrement passé, on est porté à croire qu'on s'en trouvera bien et que quelque événement heureux se produira. Mais l'idée de ces sanctions possibles n'est évidem</w:t>
      </w:r>
      <w:r w:rsidRPr="00FB35F7">
        <w:rPr>
          <w:rFonts w:ascii="Times" w:hAnsi="Times New Roman" w:cs="Times"/>
        </w:rPr>
        <w:softHyphen/>
      </w:r>
      <w:r w:rsidRPr="00FB35F7">
        <w:rPr>
          <w:rFonts w:ascii="Times New Roman" w:hAnsi="Times New Roman" w:cs="Times"/>
        </w:rPr>
        <w:t>ment née qu'après coup, pour rendre compte du rite. Une fois la cérémonie instituée, il parut naturel qu'elle servît à quelque chose et, par suite, que l'omission des observances prescrites exposât à quelque danger. Mais on ne l'a pas instituée pour prévenir ces dangers mythiques ou pour s'assurer des avantages particuliers. Ceux-ci d'ailleurs, ne sont représentés dans les esprits que de la manière la plus imprécise. Les anciens, par exemple, annoncent, quand tout est terminé, que le Wollunqua, s'il est satisfait, enverra de la pluie. Mais ce n'est pas pour avoir de la pluie qu'on célèbre la fête </w:t>
      </w:r>
      <w:r w:rsidRPr="00FB35F7">
        <w:rPr>
          <w:rStyle w:val="Rimandonotaapidipagina"/>
          <w:rFonts w:ascii="Times" w:hAnsi="Times New Roman" w:cs="Times"/>
        </w:rPr>
        <w:footnoteReference w:id="212"/>
      </w:r>
      <w:r w:rsidRPr="00FB35F7">
        <w:rPr>
          <w:rFonts w:ascii="Times New Roman" w:hAnsi="Times New Roman" w:cs="Times"/>
        </w:rPr>
        <w:t>. On la célèbre parce que les ancêtres l'ont célébrée, parce qu'on y est attaché comme à une tradition très respectée et parce qu'on en sort avec une impression de bien-être moral. Quant aux autres considérations, elles n'ont qu'un rôle complémentaire ; elles peuvent servir à confirmer les fidèles dans l'attitude que le rite leur prescrit ; elles ne sont pas la raison d'être de cette attitude.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Voilà donc tout un ensemble de cérémonies qui se proposent uniquement de réveiller certaines idées et certains sentiments, de rattacher le présent au passé, l'individu à la collectivité. Non seulement, en fait, elles ne peuvent servir à d'autres fins, mais les fidèles eux-mêmes ne leur demandent rien de plus. C'est une preuve nouvelle que l'état psychique dans lequel se trouve le groupe assemblé constitue bien la seule base, solide et stable, de ce qu'on pourrait appeler la mentalité rituelle. Quant aux croyances qui attribuent aux rites telle ou telle efficacité physique, elles sont choses accessoires et contingentes, puisqu'elles peuvent manquer sans que le rite soit altéré dans ce qu'il a d'essentiel. Ainsi, les cérémonies du Wollunqua, mieux encore que les précédentes, mettent à nu, pour ainsi dire, la fonction fondamentale du culte positif.</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Si d'ailleurs, nous avons spécialement insisté sur ces solennités, c'est à cause de leur exceptionnelle importance. Mais il en est d'autres qui ont exactement le même caractère. Ainsi, il existe chez les Warramunga un totem « du garçon qui rit ». Le clan qui porte ce nom a, disent Spencer et Gillen, la même organisation que les autres groupes totémiques. Comme eux, il a ses lieux sacrés (mungai) où l'ancêtre fondateur a célébré des cérémonies aux temps fabuleux, où il a laissé, derrière lui, des </w:t>
      </w:r>
      <w:r w:rsidRPr="00FB35F7">
        <w:rPr>
          <w:rFonts w:ascii="Times New Roman" w:hAnsi="Times New Roman" w:cs="Times"/>
          <w:i/>
          <w:iCs/>
        </w:rPr>
        <w:t xml:space="preserve">spirit-children </w:t>
      </w:r>
      <w:r w:rsidRPr="00FB35F7">
        <w:rPr>
          <w:rFonts w:ascii="Times New Roman" w:hAnsi="Times New Roman" w:cs="Times"/>
        </w:rPr>
        <w:t>qui sont devenus les hommes du clan; et les rites qui se rattachent à ce totem sont indiscernables de ceux qui se rapportent aux totems animaux ou végétaux </w:t>
      </w:r>
      <w:r w:rsidRPr="00FB35F7">
        <w:rPr>
          <w:rStyle w:val="Rimandonotaapidipagina"/>
          <w:rFonts w:ascii="Times" w:hAnsi="Times New Roman" w:cs="Times"/>
        </w:rPr>
        <w:footnoteReference w:id="213"/>
      </w:r>
      <w:r w:rsidRPr="00FB35F7">
        <w:rPr>
          <w:rFonts w:ascii="Times New Roman" w:hAnsi="Times New Roman" w:cs="Times"/>
        </w:rPr>
        <w:t>. Il est pourtant évident qu'ils ne sauraient avoir d'efficacité physique. Ils consistent en une série de quatre cérémonies qui se répètent plus ou moins les unes les autres, mais qui sont uniquement destinées à amuser, à provoquer le rire par le rire, c'est-à-dire, en somme, à entretenir la gaîté et la bonne humeur dans le groupe qui a comme la spécialité de ces dispositions morales </w:t>
      </w:r>
      <w:r w:rsidRPr="00FB35F7">
        <w:rPr>
          <w:rStyle w:val="Rimandonotaapidipagina"/>
          <w:rFonts w:ascii="Times" w:hAnsi="Times New Roman" w:cs="Times"/>
        </w:rPr>
        <w:footnoteReference w:id="214"/>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trouve chez les Arunta eux-mêmes plus d'un totem qui ne comporte pas d'autre Intichiuma. Nous avons vu en effet que, chez ce peuple, les plis ou les dépressions de terrains qui marquent l'endroit où quelque ancêtre a séjourné servent parfois de totems </w:t>
      </w:r>
      <w:r w:rsidRPr="00FB35F7">
        <w:rPr>
          <w:rStyle w:val="Rimandonotaapidipagina"/>
          <w:rFonts w:ascii="Times" w:hAnsi="Times New Roman" w:cs="Times"/>
        </w:rPr>
        <w:footnoteReference w:id="215"/>
      </w:r>
      <w:r w:rsidRPr="00FB35F7">
        <w:rPr>
          <w:rFonts w:ascii="Times New Roman" w:hAnsi="Times New Roman" w:cs="Times"/>
        </w:rPr>
        <w:t>. A ces totems sont attachées des cérémonies qui, manifestement, ne peuvent avoir d'effets physiques d'aucune sorte. Elles ne peuvent consister qu'en représentations dont l'objet est de commémo</w:t>
      </w:r>
      <w:r w:rsidRPr="00FB35F7">
        <w:rPr>
          <w:rFonts w:ascii="Times" w:hAnsi="Times New Roman" w:cs="Times"/>
        </w:rPr>
        <w:softHyphen/>
      </w:r>
      <w:r w:rsidRPr="00FB35F7">
        <w:rPr>
          <w:rFonts w:ascii="Times New Roman" w:hAnsi="Times New Roman" w:cs="Times"/>
        </w:rPr>
        <w:t>rer le passé et elles ne peuvent viser aucun but, en dehors de cette commémoration </w:t>
      </w:r>
      <w:r w:rsidRPr="00FB35F7">
        <w:rPr>
          <w:rStyle w:val="Rimandonotaapidipagina"/>
          <w:rFonts w:ascii="Times" w:hAnsi="Times New Roman" w:cs="Times"/>
        </w:rPr>
        <w:footnoteReference w:id="216"/>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même temps qu'elles nous font mieux comprendre la nature du culte, ces représen</w:t>
      </w:r>
      <w:r w:rsidRPr="00FB35F7">
        <w:rPr>
          <w:rFonts w:ascii="Times" w:hAnsi="Times New Roman" w:cs="Times"/>
        </w:rPr>
        <w:softHyphen/>
      </w:r>
      <w:r w:rsidRPr="00FB35F7">
        <w:rPr>
          <w:rFonts w:ascii="Times New Roman" w:hAnsi="Times New Roman" w:cs="Times"/>
        </w:rPr>
        <w:t>tations rituelles mettent en évidence un important élément de la religion : c'est l'élément récréatif et esthétique.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Déjà nous avons eu l'occasion de montrer qu'elles sont proches parentes des représenta</w:t>
      </w:r>
      <w:r w:rsidRPr="00FB35F7">
        <w:rPr>
          <w:rFonts w:ascii="Times" w:hAnsi="Times New Roman" w:cs="Times"/>
        </w:rPr>
        <w:softHyphen/>
      </w:r>
      <w:r w:rsidRPr="00FB35F7">
        <w:rPr>
          <w:rFonts w:ascii="Times New Roman" w:hAnsi="Times New Roman" w:cs="Times"/>
        </w:rPr>
        <w:t>tions dramatiques </w:t>
      </w:r>
      <w:r w:rsidRPr="00FB35F7">
        <w:rPr>
          <w:rStyle w:val="Rimandonotaapidipagina"/>
          <w:rFonts w:ascii="Times" w:hAnsi="Times New Roman" w:cs="Times"/>
        </w:rPr>
        <w:footnoteReference w:id="217"/>
      </w:r>
      <w:r w:rsidRPr="00FB35F7">
        <w:rPr>
          <w:rFonts w:ascii="Times New Roman" w:hAnsi="Times New Roman" w:cs="Times"/>
        </w:rPr>
        <w:t>. Cette parenté apparaît encore avec plus d'évidence dans les dernières cérémonies dont il vient d'être parlé. Non seulement, en effet, elles emploient les mêmes procédés que le drame proprement dit, mais elles poursuivent un but de même genre : étran</w:t>
      </w:r>
      <w:r w:rsidRPr="00FB35F7">
        <w:rPr>
          <w:rFonts w:ascii="Times" w:hAnsi="Times New Roman" w:cs="Times"/>
        </w:rPr>
        <w:softHyphen/>
      </w:r>
      <w:r w:rsidRPr="00FB35F7">
        <w:rPr>
          <w:rFonts w:ascii="Times New Roman" w:hAnsi="Times New Roman" w:cs="Times"/>
        </w:rPr>
        <w:t>gères à toute fin utilitaire, elles font oublier aux hommes le monde réel, pour les transporter dans un autre où leur imagination est plus à l'aise ; elles distraient. Il arrive même qu'elles aient jusqu'à l'aspect extérieur d'une récréation : on voit les assistants rire et s'amuser ouvertement </w:t>
      </w:r>
      <w:r w:rsidRPr="00FB35F7">
        <w:rPr>
          <w:rStyle w:val="Rimandonotaapidipagina"/>
          <w:rFonts w:ascii="Times" w:hAnsi="Times New Roman" w:cs="Times"/>
        </w:rPr>
        <w:footnoteReference w:id="218"/>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rites représentatifs et les récréations collectives sont même des choses tellement voisines qu'on passe d'un genre à l'autre sans solution de continuité. Ce que les cérémonies proprement religieuses ont de caractéristique, c'est qu'elles doivent être célébrées sur un terrain consacré d'où les femmes et les non-initiés sont exclus </w:t>
      </w:r>
      <w:r w:rsidRPr="00FB35F7">
        <w:rPr>
          <w:rStyle w:val="Rimandonotaapidipagina"/>
          <w:rFonts w:ascii="Times" w:hAnsi="Times New Roman" w:cs="Times"/>
        </w:rPr>
        <w:footnoteReference w:id="219"/>
      </w:r>
      <w:r w:rsidRPr="00FB35F7">
        <w:rPr>
          <w:rFonts w:ascii="Times New Roman" w:hAnsi="Times New Roman" w:cs="Times"/>
        </w:rPr>
        <w:t>. Mais il en est d'autres où ce caractère religieux s'efface quelque peu sans disparaître complètement. Elles ont lieu en dehors du terrain cérémoniel, ce qui prouve qu'elles sont déjà laïques à quelque degré ; et cependant, les profanes, femmes et enfants, n'y sont pas encore admis. Elles sont donc sur la limite des deux domaines. En général, elles se rapportent à des personnages légendaires, mais qui n'ont pas de place régulière dans les cadres de la religion totémique. Ce sont des esprits, le plus souvent malfaisants, qui sont plutôt en rapports avec les magiciens qu'avec le commun des fidèles, sortes de croquemitaines auxquels on ne croit pas avec le même degré de sérieux et la même fermeté de conviction qu'aux êtres et aux choses proprement toté</w:t>
      </w:r>
      <w:r w:rsidRPr="00FB35F7">
        <w:rPr>
          <w:rFonts w:ascii="Times" w:hAnsi="Times New Roman" w:cs="Times"/>
        </w:rPr>
        <w:softHyphen/>
      </w:r>
      <w:r w:rsidRPr="00FB35F7">
        <w:rPr>
          <w:rFonts w:ascii="Times New Roman" w:hAnsi="Times New Roman" w:cs="Times"/>
        </w:rPr>
        <w:t>mique </w:t>
      </w:r>
      <w:r w:rsidRPr="00FB35F7">
        <w:rPr>
          <w:rStyle w:val="Rimandonotaapidipagina"/>
          <w:rFonts w:ascii="Times" w:hAnsi="Times New Roman" w:cs="Times"/>
        </w:rPr>
        <w:footnoteReference w:id="220"/>
      </w:r>
      <w:r w:rsidRPr="00FB35F7">
        <w:rPr>
          <w:rFonts w:ascii="Times New Roman" w:hAnsi="Times New Roman" w:cs="Times"/>
        </w:rPr>
        <w:t>. A mesure que se relâche le lien qui rattache à l'histoire de la tribu les événements et les personnages représentés, à mesure aussi les uns et les autres prennent un air plus irréel et les cérémonies correspondantes changent de nature. C'est ainsi qu'on entre progressivement dans le domaine de la pure fantaisie et qu'on passe du rite commémoratif au corrobbori vulgaire, simple réjouissance publique qui n'a plus rien de religieux et à laquelle tout le mon</w:t>
      </w:r>
      <w:r w:rsidRPr="00FB35F7">
        <w:rPr>
          <w:rFonts w:ascii="Times" w:hAnsi="Times New Roman" w:cs="Times"/>
        </w:rPr>
        <w:softHyphen/>
      </w:r>
      <w:r w:rsidRPr="00FB35F7">
        <w:rPr>
          <w:rFonts w:ascii="Times New Roman" w:hAnsi="Times New Roman" w:cs="Times"/>
        </w:rPr>
        <w:t>de peut indifféremment prendre part. Peut-être même certaines de ces représenta</w:t>
      </w:r>
      <w:r w:rsidRPr="00FB35F7">
        <w:rPr>
          <w:rFonts w:ascii="Times" w:hAnsi="Times New Roman" w:cs="Times"/>
        </w:rPr>
        <w:softHyphen/>
      </w:r>
      <w:r w:rsidRPr="00FB35F7">
        <w:rPr>
          <w:rFonts w:ascii="Times New Roman" w:hAnsi="Times New Roman" w:cs="Times"/>
        </w:rPr>
        <w:t>tions, dont l'unique objet est actuellement de distraire, sont-elles d'anciens rites qui ont changé de quali</w:t>
      </w:r>
      <w:r w:rsidRPr="00FB35F7">
        <w:rPr>
          <w:rFonts w:ascii="Times" w:hAnsi="Times New Roman" w:cs="Times"/>
        </w:rPr>
        <w:softHyphen/>
      </w:r>
      <w:r w:rsidRPr="00FB35F7">
        <w:rPr>
          <w:rFonts w:ascii="Times New Roman" w:hAnsi="Times New Roman" w:cs="Times"/>
        </w:rPr>
        <w:t>fi</w:t>
      </w:r>
      <w:r w:rsidRPr="00FB35F7">
        <w:rPr>
          <w:rFonts w:ascii="Times" w:hAnsi="Times New Roman" w:cs="Times"/>
        </w:rPr>
        <w:softHyphen/>
      </w:r>
      <w:r w:rsidRPr="00FB35F7">
        <w:rPr>
          <w:rFonts w:ascii="Times New Roman" w:hAnsi="Times New Roman" w:cs="Times"/>
        </w:rPr>
        <w:t>cation. En fait, les frontières sont tellement flottantes entre ces deux sortes de cérémonies qu'il en est dont il est impossible de dire avec précision auquel des deux genres elles ressortissent </w:t>
      </w:r>
      <w:r w:rsidRPr="00FB35F7">
        <w:rPr>
          <w:rStyle w:val="Rimandonotaapidipagina"/>
          <w:rFonts w:ascii="Times" w:hAnsi="Times New Roman" w:cs="Times"/>
        </w:rPr>
        <w:footnoteReference w:id="221"/>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un fait connu que les jeux et les principales formes de l'art semblent être nées de la religion et qu'elles ont, pendant longtemps, gardé un caractère religieux </w:t>
      </w:r>
      <w:r w:rsidRPr="00FB35F7">
        <w:rPr>
          <w:rStyle w:val="Rimandonotaapidipagina"/>
          <w:rFonts w:ascii="Times" w:hAnsi="Times New Roman" w:cs="Times"/>
        </w:rPr>
        <w:footnoteReference w:id="222"/>
      </w:r>
      <w:r w:rsidRPr="00FB35F7">
        <w:rPr>
          <w:rFonts w:ascii="Times New Roman" w:hAnsi="Times New Roman" w:cs="Times"/>
        </w:rPr>
        <w:t>. On voit quelles en sont les raisons : c'est que le culte, tout en visant directement d'autres fins, a été en même temps pour les hommes une sorte de récréation. Ce rôle, la religion ne l'a pas joué par hasard, grâce à une heureuse rencontre, mais par une nécessité de sa nature. En effet, bien que, comme nous l'avons établi, la pensée religieuse soit tout autre chose qu'un système de fic</w:t>
      </w:r>
      <w:r w:rsidRPr="00FB35F7">
        <w:rPr>
          <w:rFonts w:ascii="Times" w:hAnsi="Times New Roman" w:cs="Times"/>
        </w:rPr>
        <w:softHyphen/>
      </w:r>
      <w:r w:rsidRPr="00FB35F7">
        <w:rPr>
          <w:rFonts w:ascii="Times New Roman" w:hAnsi="Times New Roman" w:cs="Times"/>
        </w:rPr>
        <w:t>tions, les réalités auxquelles elle correspond ne parviennent cependant à s'exprimer reli</w:t>
      </w:r>
      <w:r w:rsidRPr="00FB35F7">
        <w:rPr>
          <w:rFonts w:ascii="Times" w:hAnsi="Times New Roman" w:cs="Times"/>
        </w:rPr>
        <w:softHyphen/>
      </w:r>
      <w:r w:rsidRPr="00FB35F7">
        <w:rPr>
          <w:rFonts w:ascii="Times New Roman" w:hAnsi="Times New Roman" w:cs="Times"/>
        </w:rPr>
        <w:t>gieu</w:t>
      </w:r>
      <w:r w:rsidRPr="00FB35F7">
        <w:rPr>
          <w:rFonts w:ascii="Times" w:hAnsi="Times New Roman" w:cs="Times"/>
        </w:rPr>
        <w:softHyphen/>
      </w:r>
      <w:r w:rsidRPr="00FB35F7">
        <w:rPr>
          <w:rFonts w:ascii="Times New Roman" w:hAnsi="Times New Roman" w:cs="Times"/>
        </w:rPr>
        <w:t>se</w:t>
      </w:r>
      <w:r w:rsidRPr="00FB35F7">
        <w:rPr>
          <w:rFonts w:ascii="Times" w:hAnsi="Times New Roman" w:cs="Times"/>
        </w:rPr>
        <w:softHyphen/>
      </w:r>
      <w:r w:rsidRPr="00FB35F7">
        <w:rPr>
          <w:rFonts w:ascii="Times New Roman" w:hAnsi="Times New Roman" w:cs="Times"/>
        </w:rPr>
        <w:t>ment que si l'imagination les transfigure. Entre la société telle qu'elle est objectivement et les choses sacrées qui la représentent symboliquement, la distance est considérable. Il a fallu que les impressions réellement ressenties par les hommes et qui ont servi de matière première à cette construction aient été interprétées, élaborées, transformées jusqu'à devenir méconnais</w:t>
      </w:r>
      <w:r w:rsidRPr="00FB35F7">
        <w:rPr>
          <w:rFonts w:ascii="Times" w:hAnsi="Times New Roman" w:cs="Times"/>
        </w:rPr>
        <w:softHyphen/>
      </w:r>
      <w:r w:rsidRPr="00FB35F7">
        <w:rPr>
          <w:rFonts w:ascii="Times New Roman" w:hAnsi="Times New Roman" w:cs="Times"/>
        </w:rPr>
        <w:t>sables. Le monde des choses religieuses est donc, mais seulement dans sa forme extérieure, un monde partiellement imaginaire et qui, pour cette raison, se prête plus docilement aux libres créations de l'esprit. D'ailleurs, parce que les forces intellectuelles qui servent à le faire sont intenses et tumultueuses, l'unique tâche qui consiste à exprimer le réel à l'aide de symboles convenables ne suffit pas à les occuper. Un surplus reste généralement disponible qui cherche à s'employer en oeuvres supplémentaires, super</w:t>
      </w:r>
      <w:r w:rsidRPr="00FB35F7">
        <w:rPr>
          <w:rFonts w:ascii="Times" w:hAnsi="Times New Roman" w:cs="Times"/>
        </w:rPr>
        <w:softHyphen/>
      </w:r>
      <w:r w:rsidRPr="00FB35F7">
        <w:rPr>
          <w:rFonts w:ascii="Times New Roman" w:hAnsi="Times New Roman" w:cs="Times"/>
        </w:rPr>
        <w:t>flues et de luxe, c'est-à-dire en oeuvres d'art. Il en est des pratiques comme des croyances. L'état d'effervescence où se trou</w:t>
      </w:r>
      <w:r w:rsidRPr="00FB35F7">
        <w:rPr>
          <w:rFonts w:ascii="Times" w:hAnsi="Times New Roman" w:cs="Times"/>
        </w:rPr>
        <w:softHyphen/>
      </w:r>
      <w:r w:rsidRPr="00FB35F7">
        <w:rPr>
          <w:rFonts w:ascii="Times New Roman" w:hAnsi="Times New Roman" w:cs="Times"/>
        </w:rPr>
        <w:t>vent les fidèles assemblés se traduit nécessaire</w:t>
      </w:r>
      <w:r w:rsidRPr="00FB35F7">
        <w:rPr>
          <w:rFonts w:ascii="Times" w:hAnsi="Times New Roman" w:cs="Times"/>
        </w:rPr>
        <w:softHyphen/>
      </w:r>
      <w:r w:rsidRPr="00FB35F7">
        <w:rPr>
          <w:rFonts w:ascii="Times New Roman" w:hAnsi="Times New Roman" w:cs="Times"/>
        </w:rPr>
        <w:t>ment au dehors par des mouvements exubé</w:t>
      </w:r>
      <w:r w:rsidRPr="00FB35F7">
        <w:rPr>
          <w:rFonts w:ascii="Times" w:hAnsi="Times New Roman" w:cs="Times"/>
        </w:rPr>
        <w:softHyphen/>
      </w:r>
      <w:r w:rsidRPr="00FB35F7">
        <w:rPr>
          <w:rFonts w:ascii="Times New Roman" w:hAnsi="Times New Roman" w:cs="Times"/>
        </w:rPr>
        <w:t>rants qui ne se laissent pas facilement assujettir à des fins trop étroitement définies. Ils s'échap</w:t>
      </w:r>
      <w:r w:rsidRPr="00FB35F7">
        <w:rPr>
          <w:rFonts w:ascii="Times" w:hAnsi="Times New Roman" w:cs="Times"/>
        </w:rPr>
        <w:softHyphen/>
      </w:r>
      <w:r w:rsidRPr="00FB35F7">
        <w:rPr>
          <w:rFonts w:ascii="Times New Roman" w:hAnsi="Times New Roman" w:cs="Times"/>
        </w:rPr>
        <w:t>pent, en partie, sans but, se déploient pour le seul plaisir de se déployer, se com</w:t>
      </w:r>
      <w:r w:rsidRPr="00FB35F7">
        <w:rPr>
          <w:rFonts w:ascii="Times" w:hAnsi="Times New Roman" w:cs="Times"/>
        </w:rPr>
        <w:softHyphen/>
      </w:r>
      <w:r w:rsidRPr="00FB35F7">
        <w:rPr>
          <w:rFonts w:ascii="Times New Roman" w:hAnsi="Times New Roman" w:cs="Times"/>
        </w:rPr>
        <w:t>plaisent en des sortes de jeux. Au reste, dans la mesure où les êtres auxquels s'adresse le culte sont imaginaires, ils sont impropres à contenir et à régler cette exubérance ; il faut la pression de réalités tangibles et résistantes pour astreindre l'activité à des adaptations exactes et économiques. Aussi s'expose-t-on à des mécomptes quand, pour expliquer les rites, on croit devoir assigner à chaque geste un objet précis et une raison d'être déterminée. Il en est qui ne servent à rien; ils répondent simplement au besoin d'agir, de se mouvoir, de gesticuler que ressentent les fidèles. On voit ceux-ci sauter, tourner, danser, crier, chanter, sans qu'il soit toujours possible de donner un sens à cette agitation.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Ainsi, la religion ne serait pas elle-même si elle ne faisait pas quelque place aux libres combinaisons de la pensée et de l'activité, au jeu, à l'art, à tout ce qui recrée l'esprit fatigué parce qu'il y a de trop assujettissant dans le labeur quotidien : les causes mêmes qui l'ont appelée à l'existence lui en font une nécessité. L'art n'est pas simplement un ornement exté</w:t>
      </w:r>
      <w:r w:rsidRPr="00FB35F7">
        <w:rPr>
          <w:rFonts w:ascii="Times" w:hAnsi="Times New Roman" w:cs="Times"/>
        </w:rPr>
        <w:softHyphen/>
      </w:r>
      <w:r w:rsidRPr="00FB35F7">
        <w:rPr>
          <w:rFonts w:ascii="Times New Roman" w:hAnsi="Times New Roman" w:cs="Times"/>
        </w:rPr>
        <w:t>rieur dont le culte se parerait pour dissimuler ce qu'il peut avoir de trop austère et de trop rude : mais, par lui-même, le culte a quelque chose d'esthétique. A cause des rapports bien connus que la mythologie sou</w:t>
      </w:r>
      <w:r w:rsidRPr="00FB35F7">
        <w:rPr>
          <w:rFonts w:ascii="Times" w:hAnsi="Times New Roman" w:cs="Times"/>
        </w:rPr>
        <w:softHyphen/>
      </w:r>
      <w:r w:rsidRPr="00FB35F7">
        <w:rPr>
          <w:rFonts w:ascii="Times New Roman" w:hAnsi="Times New Roman" w:cs="Times"/>
        </w:rPr>
        <w:t>tient avec la poésie, on a voulu parfois mettre la première en dehors de la religion </w:t>
      </w:r>
      <w:r w:rsidRPr="00FB35F7">
        <w:rPr>
          <w:rStyle w:val="Rimandonotaapidipagina"/>
          <w:rFonts w:ascii="Times" w:hAnsi="Times New Roman" w:cs="Times"/>
        </w:rPr>
        <w:footnoteReference w:id="223"/>
      </w:r>
      <w:r w:rsidRPr="00FB35F7">
        <w:rPr>
          <w:rFonts w:ascii="Times New Roman" w:hAnsi="Times New Roman" w:cs="Times"/>
        </w:rPr>
        <w:t>, la vérité est qu'il y a une poésie inhérente à toute religion. Les cérémonies représentatives qui viennent d'être étudiées rendent sensible cet aspect de la vie religieuse; mais il n'est guère de rites qui ne le présentent à quelque degré.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Assurément, on commettrait la plus grave erreur si l'on ne voyait de la religion que cet unique aspect ou si même on en exagérait l'importance. Quand un rite ne sert plus qu'à distraire, ce n'est plus un rite. Les forces morales qu'expriment les symboles religieux sont des forces réelles, avec lesquelles il nous faut compter et dont nous ne pouvons faire ce qu'il nous plaît. Alors même que le culte ne vise pas à produire des effets physiques, niais se borne délibérément à agir sur les esprits, son action s'exerce dans un autre sens qu'une pure oeuvre d'art. Les représentations qu'il a pour fonction d'éveiller et d'entretenir en nous ne sont pas de vaines images qui ne répondent à rien dans la réalité, que nous évoquons sans but, pour la seule satisfaction de les voir apparaître et se combiner sous nos yeux. Elles sont aussi nécessaires au bon fonctionnement de notre vie morale que les aliments à l'entretien de notre vit physique ; car c'est par elles que le groupe s'affirme et se maintient, et nous savons à quel point il est indispensable à l'individu. Un rite est donc autre chose qu'un jeu; il est de la vie sérieuse. Mais, si l'élément irréel et imaginaire n'est pas essentiel, il ne laisse pas de jouer un rôle qui n'est pas négligeable. Il entre pour une part dans ce sentiment de réconfort que le fidèle retire du rite accompli ; car la récréation est une des formes de cette réfection morale qui est l'objet principal du culte positif. Une fois que nous nous sommes acquittés de nos devoirs rituels, nous rentrons dans la vie profane avec plus de courage et d'ardeur, non seulement parce que nous nous sommes mis en rapports avec une source supérieure d'éner</w:t>
      </w:r>
      <w:r w:rsidRPr="00FB35F7">
        <w:rPr>
          <w:rFonts w:ascii="Times" w:hAnsi="Times New Roman" w:cs="Times"/>
        </w:rPr>
        <w:softHyphen/>
      </w:r>
      <w:r w:rsidRPr="00FB35F7">
        <w:rPr>
          <w:rFonts w:ascii="Times New Roman" w:hAnsi="Times New Roman" w:cs="Times"/>
        </w:rPr>
        <w:t>gie, mais aussi parce que nos forces se sont retrempées à vivre, pendant quelques instants, d'une vie moins tendue, plus aisée et plus libre. Par là, la religion a un charme qui n'est pas un de ses moindres attraits.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pourquoi l'idée même d'une cérémonie religieuse de quelque importance éveille naturellement l'idée de fête. Inversement, toute fête, alors même qu'elle est purement laïque par ses origines, a certains caractères de la cérémonie religieuse, car, dans tous les cas, elle a pour effet de rapprocher les individus, de mettre en mouvement les masses et de susciter ainsi un état d'effervescence, parfois même de délire, qui n'est pas sans parenté avec l'état religieux. L'homme est transporté hors de lui, distrait de ses occupations et de ses préoccupa</w:t>
      </w:r>
      <w:r w:rsidRPr="00FB35F7">
        <w:rPr>
          <w:rFonts w:ascii="Times" w:hAnsi="Times New Roman" w:cs="Times"/>
        </w:rPr>
        <w:softHyphen/>
      </w:r>
      <w:r w:rsidRPr="00FB35F7">
        <w:rPr>
          <w:rFonts w:ascii="Times New Roman" w:hAnsi="Times New Roman" w:cs="Times"/>
        </w:rPr>
        <w:t>tions ordinaires. Aussi observe-t-on de part et d'autre les mêmes manifestations : cris, chants, musique, mouvements violents, danses, recherche d'excitants qui remontent le niveau vital, etc. On a souvent remarqué que les fêtes populaires entraînent aux excès, font perdre de vue la limite qui sépare le licite et l'illicite </w:t>
      </w:r>
      <w:r w:rsidRPr="00FB35F7">
        <w:rPr>
          <w:rStyle w:val="Rimandonotaapidipagina"/>
          <w:rFonts w:ascii="Times" w:hAnsi="Times New Roman" w:cs="Times"/>
        </w:rPr>
        <w:footnoteReference w:id="224"/>
      </w:r>
      <w:r w:rsidRPr="00FB35F7">
        <w:rPr>
          <w:rFonts w:ascii="Times New Roman" w:hAnsi="Times New Roman" w:cs="Times"/>
        </w:rPr>
        <w:t>; il est également des cérémonies religieuses qui déterminent comme un besoin de violer les règles ordinairement les plus respectées </w:t>
      </w:r>
      <w:r w:rsidRPr="00FB35F7">
        <w:rPr>
          <w:rStyle w:val="Rimandonotaapidipagina"/>
          <w:rFonts w:ascii="Times" w:hAnsi="Times New Roman" w:cs="Times"/>
        </w:rPr>
        <w:footnoteReference w:id="225"/>
      </w:r>
      <w:r w:rsidRPr="00FB35F7">
        <w:rPr>
          <w:rFonts w:ascii="Times New Roman" w:hAnsi="Times New Roman" w:cs="Times"/>
        </w:rPr>
        <w:t>. Ce n'est pas, certes, qu'il n'y ait pas lieu de différencier les deux formes de l'activité publique. La simple réjouissance, le corrobbori profane n'a pas d'objet sérieux, tandis que, dans son ensemble, une cérémonie rituelle a toujours un but grave. Encore faut-il observer qu'il n'y a peut-être pas de réjouissance où la vie sérieuse n'ait quelque écho. Au fond, la différence est plutôt dans la proportion inégale suivant laquelle ces deux éléments sont combinés.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25" w:name="livre_3_chap_4_3"/>
      <w:r w:rsidRPr="00FB35F7">
        <w:rPr>
          <w:rFonts w:ascii="Times New Roman" w:hAnsi="Times New Roman"/>
        </w:rPr>
        <w:t>III</w:t>
      </w:r>
    </w:p>
    <w:bookmarkEnd w:id="25"/>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 fait plus général vient confirmer les vues qui précèdent.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Dans leur premier ouvrage, Spencer et Gillen présentaient l'Intichiuma comme une entité rituelle parfaitement définie : ils en parlaient comme d'une opération exclusivement destinée à assurer la reproduction de l'espèce totémique et il semblait qu'elle dût nécessairement perdre toute espèce de sens en dehors de cette unique fonction. Mais dans leurs </w:t>
      </w:r>
      <w:r w:rsidRPr="00FB35F7">
        <w:rPr>
          <w:rFonts w:ascii="Times New Roman" w:hAnsi="Times New Roman" w:cs="Times"/>
          <w:i/>
          <w:iCs/>
        </w:rPr>
        <w:t xml:space="preserve">Northern Tribes of Central Australia, </w:t>
      </w:r>
      <w:r w:rsidRPr="00FB35F7">
        <w:rPr>
          <w:rFonts w:ascii="Times New Roman" w:hAnsi="Times New Roman" w:cs="Times"/>
        </w:rPr>
        <w:t>les mêmes auteurs, sans peut-être y prendre garde, tiennent un langage différent. Ils reconnaissent que les mêmes cérémonies peuvent indifféremment prendre place dans les Intichiuma proprement dits ou dans les rites d'initiation </w:t>
      </w:r>
      <w:r w:rsidRPr="00FB35F7">
        <w:rPr>
          <w:rStyle w:val="Rimandonotaapidipagina"/>
          <w:rFonts w:ascii="Times" w:hAnsi="Times New Roman" w:cs="Times"/>
        </w:rPr>
        <w:footnoteReference w:id="226"/>
      </w:r>
      <w:r w:rsidRPr="00FB35F7">
        <w:rPr>
          <w:rFonts w:ascii="Times New Roman" w:hAnsi="Times New Roman" w:cs="Times"/>
        </w:rPr>
        <w:t>. Elles servent donc également ou à faire des animaux et des plantes de l'espèce totémique, ou à conférer aux novices les qualités nécessaires pour qu'ils deviennent membres réguliers de la société des hommes </w:t>
      </w:r>
      <w:r w:rsidRPr="00FB35F7">
        <w:rPr>
          <w:rStyle w:val="Rimandonotaapidipagina"/>
          <w:rFonts w:ascii="Times" w:hAnsi="Times New Roman" w:cs="Times"/>
        </w:rPr>
        <w:footnoteReference w:id="227"/>
      </w:r>
      <w:r w:rsidRPr="00FB35F7">
        <w:rPr>
          <w:rFonts w:ascii="Times New Roman" w:hAnsi="Times New Roman" w:cs="Times"/>
        </w:rPr>
        <w:t>. De ce point de vue, l'Intichiuma apparaît sous un aspect nouveau. Ce n'est plus un mécanisme rituel distinct, reposant sur des principes qui lui sont propres, mais une application particulière de céré</w:t>
      </w:r>
      <w:r w:rsidRPr="00FB35F7">
        <w:rPr>
          <w:rFonts w:ascii="Times" w:hAnsi="Times New Roman" w:cs="Times"/>
        </w:rPr>
        <w:softHyphen/>
      </w:r>
      <w:r w:rsidRPr="00FB35F7">
        <w:rPr>
          <w:rFonts w:ascii="Times New Roman" w:hAnsi="Times New Roman" w:cs="Times"/>
        </w:rPr>
        <w:t>monies plus générales et qui peuvent être utilisées en vue de fins très différentes. C'est pourquoi, dans leur nouvel ouvrage, avant de parler de l'Intichiuma et de l'initiation, ils consa</w:t>
      </w:r>
      <w:r w:rsidRPr="00FB35F7">
        <w:rPr>
          <w:rFonts w:ascii="Times" w:hAnsi="Times New Roman" w:cs="Times"/>
        </w:rPr>
        <w:softHyphen/>
      </w:r>
      <w:r w:rsidRPr="00FB35F7">
        <w:rPr>
          <w:rFonts w:ascii="Times New Roman" w:hAnsi="Times New Roman" w:cs="Times"/>
        </w:rPr>
        <w:t>crent un chapitre spécial aux cérémonies totémiques en général, abstraction faite des for</w:t>
      </w:r>
      <w:r w:rsidRPr="00FB35F7">
        <w:rPr>
          <w:rFonts w:ascii="Times" w:hAnsi="Times New Roman" w:cs="Times"/>
        </w:rPr>
        <w:softHyphen/>
      </w:r>
      <w:r w:rsidRPr="00FB35F7">
        <w:rPr>
          <w:rFonts w:ascii="Times New Roman" w:hAnsi="Times New Roman" w:cs="Times"/>
        </w:rPr>
        <w:t>mes diverses qu'elles peuvent prendre suivant les fins pour lesquelles elles sont em</w:t>
      </w:r>
      <w:r w:rsidRPr="00FB35F7">
        <w:rPr>
          <w:rFonts w:ascii="Times" w:hAnsi="Times New Roman" w:cs="Times"/>
        </w:rPr>
        <w:softHyphen/>
      </w:r>
      <w:r w:rsidRPr="00FB35F7">
        <w:rPr>
          <w:rFonts w:ascii="Times New Roman" w:hAnsi="Times New Roman" w:cs="Times"/>
        </w:rPr>
        <w:t>ployées </w:t>
      </w:r>
      <w:r w:rsidRPr="00FB35F7">
        <w:rPr>
          <w:rStyle w:val="Rimandonotaapidipagina"/>
          <w:rFonts w:ascii="Times" w:hAnsi="Times New Roman" w:cs="Times"/>
        </w:rPr>
        <w:footnoteReference w:id="228"/>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Cette indétermination foncière des cérémonies totémiques n'avait été qu'indiquée par Spencer et Gillen et d'une manière assez indirecte ; mais elle vient d'être confirmée par Strehlow dans les termes les plus explicites. « Quand, dit-il, on fait passer les jeunes novices par les différentes fêtes de l'initiation, on exécute devant eux une série de cérémonies qui, tout en reproduisant jusque dans leurs détails les plus caractéristiques, les rites du culte proprement dit </w:t>
      </w:r>
      <w:r w:rsidRPr="00FB35F7">
        <w:rPr>
          <w:rFonts w:ascii="Times New Roman" w:hAnsi="Times New Roman" w:cs="Times"/>
          <w:i/>
          <w:iCs/>
        </w:rPr>
        <w:t xml:space="preserve">(entendez les rites que Spencer et Gillen appellent Intichiuma) </w:t>
      </w:r>
      <w:r w:rsidRPr="00FB35F7">
        <w:rPr>
          <w:rFonts w:ascii="Times New Roman" w:hAnsi="Times New Roman" w:cs="Times"/>
        </w:rPr>
        <w:t>n'ont cependant pas pour but de multiplier et de faire prospérer le totem correspondant </w:t>
      </w:r>
      <w:r w:rsidRPr="00FB35F7">
        <w:rPr>
          <w:rStyle w:val="Rimandonotaapidipagina"/>
          <w:rFonts w:ascii="Times" w:hAnsi="Times New Roman" w:cs="Times"/>
        </w:rPr>
        <w:footnoteReference w:id="229"/>
      </w:r>
      <w:r w:rsidRPr="00FB35F7">
        <w:rPr>
          <w:rFonts w:ascii="Times New Roman" w:hAnsi="Times New Roman" w:cs="Times"/>
        </w:rPr>
        <w:t xml:space="preserve">. » C'est donc la même cérémonie qui sert dans les deux cas; le nom seul n'est pas le même. Quand elle a spécialement pour objet la reproduction de l'espèce, on l'appelle </w:t>
      </w:r>
      <w:r w:rsidRPr="00FB35F7">
        <w:rPr>
          <w:rFonts w:ascii="Times New Roman" w:hAnsi="Times New Roman" w:cs="Times"/>
          <w:i/>
          <w:iCs/>
        </w:rPr>
        <w:t xml:space="preserve">mbatjalkatiuma </w:t>
      </w:r>
      <w:r w:rsidRPr="00FB35F7">
        <w:rPr>
          <w:rFonts w:ascii="Times New Roman" w:hAnsi="Times New Roman" w:cs="Times"/>
        </w:rPr>
        <w:t>et c'est seulement quand elle constitue un procédé d'initiation qu'on lui donnerait le nom d'Intichiuma </w:t>
      </w:r>
      <w:r w:rsidRPr="00FB35F7">
        <w:rPr>
          <w:rStyle w:val="Rimandonotaapidipagina"/>
          <w:rFonts w:ascii="Times" w:hAnsi="Times New Roman" w:cs="Times"/>
        </w:rPr>
        <w:footnoteReference w:id="23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Encore, chez les Arunta, ces deux sortes de cérémonies se distinguent-elles l'une de l'autre par certains caractères secondaires. Si la contexture du rite est la même dans les deux cas, nous savons pourtant que les effusions de sang et, plus généralement, les oblations caractéristiques de l'Intichiuma arunta, manquent aux cérémonies d'initiation. De plus, tandis que, chez ce même peuple, l'Intichiuma a lieu à un endroit que la tradition fixe réglementai</w:t>
      </w:r>
      <w:r w:rsidRPr="00FB35F7">
        <w:rPr>
          <w:rFonts w:ascii="Times" w:hAnsi="Times New Roman" w:cs="Times"/>
        </w:rPr>
        <w:softHyphen/>
      </w:r>
      <w:r w:rsidRPr="00FB35F7">
        <w:rPr>
          <w:rFonts w:ascii="Times New Roman" w:hAnsi="Times New Roman" w:cs="Times"/>
        </w:rPr>
        <w:t>rement et où l'on est obligé de se rendre en pèlerinage, la scène sur laquelle ont lieu les cérémonies de l'initiation est purement conventionnelle </w:t>
      </w:r>
      <w:r w:rsidRPr="00FB35F7">
        <w:rPr>
          <w:rStyle w:val="Rimandonotaapidipagina"/>
          <w:rFonts w:ascii="Times" w:hAnsi="Times New Roman" w:cs="Times"/>
        </w:rPr>
        <w:footnoteReference w:id="231"/>
      </w:r>
      <w:r w:rsidRPr="00FB35F7">
        <w:rPr>
          <w:rFonts w:ascii="Times New Roman" w:hAnsi="Times New Roman" w:cs="Times"/>
        </w:rPr>
        <w:t>. Mais quand, comme c'est le cas chez les Warramunga, l'Intichiuma consiste en une simple représentation dramatique, l'indis</w:t>
      </w:r>
      <w:r w:rsidRPr="00FB35F7">
        <w:rPr>
          <w:rFonts w:ascii="Times" w:hAnsi="Times New Roman" w:cs="Times"/>
        </w:rPr>
        <w:softHyphen/>
      </w:r>
      <w:r w:rsidRPr="00FB35F7">
        <w:rPr>
          <w:rFonts w:ascii="Times New Roman" w:hAnsi="Times New Roman" w:cs="Times"/>
        </w:rPr>
        <w:t>tinc</w:t>
      </w:r>
      <w:r w:rsidRPr="00FB35F7">
        <w:rPr>
          <w:rFonts w:ascii="Times" w:hAnsi="Times New Roman" w:cs="Times"/>
        </w:rPr>
        <w:softHyphen/>
      </w:r>
      <w:r w:rsidRPr="00FB35F7">
        <w:rPr>
          <w:rFonts w:ascii="Times New Roman" w:hAnsi="Times New Roman" w:cs="Times"/>
        </w:rPr>
        <w:t>tion est complète entre les deux rites. Dans l'un comme dans l'autre, on commémore le passé, on met le mythe en action, on le joue et on ne peut pas le jouer de deux manières sensiblement différentes. Une seule et même cérémonie sert donc, suivant les circonstances, à deux fonctions distinctes </w:t>
      </w:r>
      <w:r w:rsidRPr="00FB35F7">
        <w:rPr>
          <w:rStyle w:val="Rimandonotaapidipagina"/>
          <w:rFonts w:ascii="Times" w:hAnsi="Times New Roman" w:cs="Times"/>
        </w:rPr>
        <w:footnoteReference w:id="232"/>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Gillen d'avoir commise: ils auraient appliqué à l'une des modalités du rite le terme qui convient plus spécialement à l'autre. Mais, dans ces conditions, l'erreur ne semble pas avoir la gravité que lui attribue Strehlow.</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Elle peut même se prêter à bien d'autres emplois. On sait que, le sang étant chose sacrée, les femmes, ne doivent pas le voir couler. Il arrive pourtant qu'une querelle éclate en leur présence et, finalement, se termine par une effusion de sang. Une infraction rituelle se trouve ainsi commise. Or, chez les Arunta, l'homme dont le sang a coulé le premier, doit, pour réparer cette faute, « célébrer une cérémonie qui se rapporte soit au totem de son père soit à celui de sa mère </w:t>
      </w:r>
      <w:r w:rsidRPr="00FB35F7">
        <w:rPr>
          <w:rStyle w:val="Rimandonotaapidipagina"/>
          <w:rFonts w:ascii="Times" w:hAnsi="Times New Roman" w:cs="Times"/>
        </w:rPr>
        <w:footnoteReference w:id="233"/>
      </w:r>
      <w:r w:rsidRPr="00FB35F7">
        <w:rPr>
          <w:rFonts w:ascii="Times New Roman" w:hAnsi="Times New Roman" w:cs="Times"/>
        </w:rPr>
        <w:t xml:space="preserve"> » ; cette cérémonie porte un nom spécial, Alua uparilima, qui signifie l'effacement du sang. Mais, en elle-même, elle ne diffère pas de celles que l'on célèbre lors de l'initiation ou dans les Intichiuma : elle représente un événement de l'histoire ancestrale. Elle peut donc également servir soit à initier, soit à agir sur l'espèce animale, soit à expier un sacrilège. Nous verrons plus loin qu'une cérémonie totémique peut aussi tenir lieu de rite funéraire </w:t>
      </w:r>
      <w:r w:rsidRPr="00FB35F7">
        <w:rPr>
          <w:rStyle w:val="Rimandonotaapidipagina"/>
          <w:rFonts w:ascii="Times" w:hAnsi="Times New Roman" w:cs="Times"/>
        </w:rPr>
        <w:footnoteReference w:id="234"/>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MM. Hubert et Mauss ont déjà signalé une ambiguïté fonctionnelle du même genre dans le cas du sacrifice et, plus spécialement, du sacrifice hindou </w:t>
      </w:r>
      <w:r w:rsidRPr="00FB35F7">
        <w:rPr>
          <w:rStyle w:val="Rimandonotaapidipagina"/>
          <w:rFonts w:ascii="Times" w:hAnsi="Times New Roman" w:cs="Times"/>
        </w:rPr>
        <w:footnoteReference w:id="235"/>
      </w:r>
      <w:r w:rsidRPr="00FB35F7">
        <w:rPr>
          <w:rFonts w:ascii="Times New Roman" w:hAnsi="Times New Roman" w:cs="Times"/>
        </w:rPr>
        <w:t>. Ils ont montré comment le sacrifice communiel, le sacrifice expiatoire, le sacrifice-vœu, le sacrifice-contrat, n'étaient que de simples variantes d'un seul et même mécanisme, Nous voyons maintenant que le fait est beaucoup plus primitif et qu'il n'est nullement limité à l'institution sacrificielle. Il n'existe peut-être pas de rite qui ne présente une semblable indétermination. La messe sert aux mariages comme aux enterrements ; elle rachète les fautes des morts, elle assure aux vivants les faveurs de la divinité, etc. Le jeûne est une expiation et une pénitence ; mais c'est aussi une prépara</w:t>
      </w:r>
      <w:r w:rsidRPr="00FB35F7">
        <w:rPr>
          <w:rFonts w:ascii="Times" w:hAnsi="Times New Roman" w:cs="Times"/>
        </w:rPr>
        <w:softHyphen/>
      </w:r>
      <w:r w:rsidRPr="00FB35F7">
        <w:rPr>
          <w:rFonts w:ascii="Times New Roman" w:hAnsi="Times New Roman" w:cs="Times"/>
        </w:rPr>
        <w:t>tion à la communion; il confère même des vertus positives. Cette ambiguïté dé</w:t>
      </w:r>
      <w:r w:rsidRPr="00FB35F7">
        <w:rPr>
          <w:rFonts w:ascii="Times" w:hAnsi="Times New Roman" w:cs="Times"/>
        </w:rPr>
        <w:softHyphen/>
      </w:r>
      <w:r w:rsidRPr="00FB35F7">
        <w:rPr>
          <w:rFonts w:ascii="Times New Roman" w:hAnsi="Times New Roman" w:cs="Times"/>
        </w:rPr>
        <w:t>mon</w:t>
      </w:r>
      <w:r w:rsidRPr="00FB35F7">
        <w:rPr>
          <w:rFonts w:ascii="Times" w:hAnsi="Times New Roman" w:cs="Times"/>
        </w:rPr>
        <w:softHyphen/>
      </w:r>
      <w:r w:rsidRPr="00FB35F7">
        <w:rPr>
          <w:rFonts w:ascii="Times" w:hAnsi="Times New Roman" w:cs="Times"/>
        </w:rPr>
        <w:softHyphen/>
      </w:r>
      <w:r w:rsidRPr="00FB35F7">
        <w:rPr>
          <w:rFonts w:ascii="Times New Roman" w:hAnsi="Times New Roman" w:cs="Times"/>
        </w:rPr>
        <w:t>tre que la fonction réelle d'un rite consiste, non dans les effets particuliers et définis qu'il paraît viser et par lesquels on le caractérise d'ordinaire, mais d'une action générale qui, tout en restant toujours et partout semblable à elle-même, est cependant susceptible de prendre des formes différentes suivant les circonstances. Or, c'est précisément ce que suppose la théorie que nous avons proposée. Si le véritable rôle du culte est d'éveiller chez les fidèles un certain état d'âme, fait de force morale et de confiance, si les effets divers qui sont imputés aux rites ne sont dus qu'à une détermination secondaire et variable de cet état fondamental, il n'est pas surprenant qu'un même rite, tout en gardant la même composition et la même structure, paraisse produire de multiples effets. Car les dispositions mentales qu'il a pour fonction permanente de susciter restent les mêmes dans tous les cas; elles dépendent du fait que le groupe est assemblé, non des raisons spéciales pour lesquelles il s'est assemblé. Mais d'un autre côté, elles sont interprétées différemment suivant les circonstances auxquelles elles s'appliquent. Est-ce un résultat physique qu'on veut obtenir ? La confiance ressentie fera croire que ce résultat est ou sera obtenu par les moyens employés. A-t-on commis quelque faute que l'on veut effacer ? Le même état d'assurance morale fera prêter aux mêmes gestes rituels des vertus expiatoires. Ainsi, l'efficacité apparente semblera changer alors que l'efficacité réelle reste invariable, et le rite paraîtra remplir des fonctions diverses bien qu'en fait il n'en ait qu'une, toujours la même.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Inversement, de même qu'un seul rite peut servir à plusieurs fins, plusieurs rites peuvent produire le même effet et se remplacer mutuellement. Pour assurer la reproduction de l'espèce totémique, on peut également recourir à des oblations, à des pratiques initiatives ou à des représentations commémoratives. Cette aptitude des rites à se substituer les uns aux autres prouve à nouveau, tout comme leur plasticité, l'extrême généralité de l'action utile qu'ils exercent. Ce qui est essentiel, c'est que des individus soient réunis, que des sentiments communs soient ressentis et qu'ils s'expriment par des actes communs ; mais quant à la nature particulière de ces sentiments et de ces actes, c'est chose relativement secondaire et contin</w:t>
      </w:r>
      <w:r w:rsidRPr="00FB35F7">
        <w:rPr>
          <w:rFonts w:ascii="Times" w:hAnsi="Times New Roman" w:cs="Times"/>
        </w:rPr>
        <w:softHyphen/>
      </w:r>
      <w:r w:rsidRPr="00FB35F7">
        <w:rPr>
          <w:rFonts w:ascii="Times New Roman" w:hAnsi="Times New Roman" w:cs="Times"/>
        </w:rPr>
        <w:t>gente. Pour prendre conscience de soi, le groupe n'a pas besoin de produire tels gestes plutôt que tels autres. Il faut qu'il communie dans une même pensée et dans une même action; mais peu importent les espèces sensibles sous lesquelles a lieu cette communion. Sans doute, ce n'est pas au hasard que se déterminent ces formes extérieures ; elles ont leurs raisons ; mais ces raisons ne tiennent pas à ce qu'il y a d'essentiel dans le culte.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Tout nous ramène donc à la même idée : c'est que les rites sont, avant tout, les moyens par lesquels le groupe social se réaffirme périodiquement. Et par là, peut-être, pouvons-nous arriver à reconstruire hypothétiquement la manière dont le culte totémique a dû, primitive</w:t>
      </w:r>
      <w:r w:rsidRPr="00FB35F7">
        <w:rPr>
          <w:rFonts w:ascii="Times" w:hAnsi="Times New Roman" w:cs="Times"/>
        </w:rPr>
        <w:softHyphen/>
      </w:r>
      <w:r w:rsidRPr="00FB35F7">
        <w:rPr>
          <w:rFonts w:ascii="Times New Roman" w:hAnsi="Times New Roman" w:cs="Times"/>
        </w:rPr>
        <w:t>ment, prendre naissance. Des hommes qui se sentent unis, en partie par les liens du sang, mais plus encore par une communauté d'intérêts et de traditions, s'assemblent et prennent conscience de leur unité morale. Pour les raisons que nous avons exposées, ils sont amenés à se représenter cette unité sous la forme d'une sorte très spéciale de consubstantialité : ils se considèrent comme participant tous de la nature d'un animal déterminé. Dans ces conditions, il n'y aura pour eux qu'une manière d'affirmer leur existence collective : c'est de s'affirmer eux-mêmes comme des animaux de cette même espèce, et cela non pas seulement dans le silence de la conscience, mais par des actes matériels. Ce sont ces actes qui constitueront le culte, et ils ne peuvent évidemment consister qu'en mouvements par lesquels l'homme imite l'animal avec lequel il s'identifie. Ainsi entendus, les rites imitatifs apparaissent comme la forme première du culte. On trouvera que c'est attribuer un rôle historique bien considérable à des pratiques qui, au premier abord, font l'effet de jeux enfantins. Mais, comme nous l'avons montré, ces gestes naïfs et gauches, ces procédés grossiers de figuration, traduisent et entretiennent un sentiment de fierté, de confiance et de vénération tout à fait comparable à celui qu'expriment les fidèles de religions les plus idéalistes quand, assemblés, ils se proclament les enfants du Dieu tout-puissant. Car, dans un cas comme dans l'autre, ce senti</w:t>
      </w:r>
      <w:r w:rsidRPr="00FB35F7">
        <w:rPr>
          <w:rFonts w:ascii="Times" w:hAnsi="Times New Roman" w:cs="Times"/>
        </w:rPr>
        <w:softHyphen/>
      </w:r>
      <w:r w:rsidRPr="00FB35F7">
        <w:rPr>
          <w:rFonts w:ascii="Times New Roman" w:hAnsi="Times New Roman" w:cs="Times"/>
        </w:rPr>
        <w:t>ment est fait des mêmes impressions de sécurité et de respect qu'éveille, dans les consciences individuelles, cette grande force morale qui les domine et qui les soutient, et qui est la force collective.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autres rites dont nous avons fait l'étude ne sont vraisemblablement que des modalités de ce rite essentiel. Une fois admise l'étroite solidarité de l'animal et de l'homme, on sentit vivement la nécessité d'assurer la reproduction régulière de l'espèce totémique et on fit de cette reproduction l'objet principal du culte. Ces pratiques imitatives qui, à l'origine, n'avaient, sans doute, qu'un but moral, se trouvèrent donc subordonnées à une fin utilitaire et matérielle et on les conçut comme des moyens de produire le résultat désiré. Mais, à mesure que, par suite du développement de la mythologie le héros ancestral, primitivement confondu avec l'animal totémique, s'en distingua davantage, à mesure qu'il se fit une figure plus per</w:t>
      </w:r>
      <w:r w:rsidRPr="00FB35F7">
        <w:rPr>
          <w:rFonts w:ascii="Times" w:hAnsi="Times New Roman" w:cs="Times"/>
        </w:rPr>
        <w:softHyphen/>
      </w:r>
      <w:r w:rsidRPr="00FB35F7">
        <w:rPr>
          <w:rFonts w:ascii="Times New Roman" w:hAnsi="Times New Roman" w:cs="Times"/>
        </w:rPr>
        <w:t>son</w:t>
      </w:r>
      <w:r w:rsidRPr="00FB35F7">
        <w:rPr>
          <w:rFonts w:ascii="Times" w:hAnsi="Times New Roman" w:cs="Times"/>
        </w:rPr>
        <w:softHyphen/>
      </w:r>
      <w:r w:rsidRPr="00FB35F7">
        <w:rPr>
          <w:rFonts w:ascii="Times New Roman" w:hAnsi="Times New Roman" w:cs="Times"/>
        </w:rPr>
        <w:t>nelle, l'imitation de l'ancêtre se substitua à l'imitation de l'animal on s'y juxtaposa, et les cérémonies représentatives remplacèrent ou complétèrent les rites mimétiques. Enfin, pour atteindre plus sûrement le but où l'on tendait, on éprouva le besoin de mettre en oeuvre tous les moyens dont on disposait. On avait sous la main les réserves de forces vives qui étaient accumulées dans les rochers sacrés, on les, utilisa ; puisque le sang de l'homme était de même nature que celui de l'animal, on s'en servit dans, le même but et on le répandit. Inversement, en raison de cette même parenté, l'homme employa la chair de l'animal pour refaire sa propre substance. De là, les rites d'oblation et de communion. Mais, en définitive, toutes ces pratiques diverses ne sont que des variantes d'un seul et même thème: partout, à la base, on retrouve le même état d'esprit interprété différemment suivant les situations, les moments de l'histoire et les dispositions des fidèles.</w:t>
      </w: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Titreniveau1"/>
        <w:rPr>
          <w:rFonts w:ascii="Times New Roman" w:hAnsi="Times New Roman"/>
        </w:rPr>
      </w:pPr>
      <w:bookmarkStart w:id="26" w:name="livre_3_chap_5"/>
      <w:r w:rsidRPr="00FB35F7">
        <w:rPr>
          <w:rFonts w:ascii="Times New Roman" w:hAnsi="Times New Roman"/>
        </w:rPr>
        <w:t>CHAPITRE V</w:t>
      </w:r>
    </w:p>
    <w:p w:rsidR="003F2F8E" w:rsidRPr="00FB35F7" w:rsidRDefault="003F2F8E">
      <w:pPr>
        <w:jc w:val="both"/>
        <w:rPr>
          <w:rFonts w:ascii="Times New Roman" w:hAnsi="Times New Roman" w:cs="Times"/>
        </w:rPr>
      </w:pPr>
    </w:p>
    <w:p w:rsidR="003F2F8E" w:rsidRPr="00FB35F7" w:rsidRDefault="003F2F8E">
      <w:pPr>
        <w:pStyle w:val="Titreniveau2"/>
        <w:rPr>
          <w:rFonts w:ascii="Times New Roman" w:hAnsi="Times New Roman"/>
        </w:rPr>
      </w:pPr>
      <w:r w:rsidRPr="00FB35F7">
        <w:rPr>
          <w:rFonts w:ascii="Times New Roman" w:hAnsi="Times New Roman"/>
        </w:rPr>
        <w:t>LES RITES PIACULAIRES</w:t>
      </w:r>
    </w:p>
    <w:p w:rsidR="003F2F8E" w:rsidRPr="00FB35F7" w:rsidRDefault="003F2F8E">
      <w:pPr>
        <w:pStyle w:val="Titreniveau2"/>
        <w:rPr>
          <w:rFonts w:ascii="Times New Roman" w:hAnsi="Times New Roman"/>
        </w:rPr>
      </w:pPr>
      <w:r w:rsidRPr="00FB35F7">
        <w:rPr>
          <w:rFonts w:ascii="Times New Roman" w:hAnsi="Times New Roman"/>
        </w:rPr>
        <w:t>ET L'AMBIGUÏTÉ DE LA NOTION</w:t>
      </w:r>
      <w:r w:rsidRPr="00FB35F7">
        <w:rPr>
          <w:rFonts w:hAnsi="Times New Roman"/>
        </w:rPr>
        <w:br/>
      </w:r>
      <w:r w:rsidRPr="00FB35F7">
        <w:rPr>
          <w:rFonts w:ascii="Times New Roman" w:hAnsi="Times New Roman"/>
        </w:rPr>
        <w:t>DU SACRÉ</w:t>
      </w:r>
    </w:p>
    <w:bookmarkEnd w:id="26"/>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Si différents qu'ils soient les uns des autres par la nature des gestes qu'ils impliquent, les divers rites positifs que nous venons de passer en revue ont un caractère commun : tous sont accomplis dans un état de confiance, d'allégresse et même d'enthousiasme. Bien que l'attente d'un événement futur et contingent n'aille pas sans quelque incertitude, il est cependant normal que la pluie tombe quand la saison est venue, que les espèces animales et végétales se reproduisent régulièrement. Une expérience, bien des fois répétée, a démontré que, en principe, les rites produisent l'effet qu'on en espère et qui est leur raison d'être. On les célèbre avec sécurité, en jouissant par avance de l'heureux événement qu'ils préparent et qu'ils annoncent. Les mouvements que l'on exécute participent de cet état d'esprit : ils sont, sans doute, empreints de la gravité que suppose toujours une solennité religieuse, mais cette gravité n'exclut ni l'entrain ni la joie.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 sont des fêtes joyeuses. Mais il existe aussi des fêtes tristes qui ont pour objet ou de faire face à une calamité ou, tout simplement, de la rappeler et de la déplorer. Ces rites ont une physionomie très particulière que nous allons chercher à caractériser et à expliquer. Il est d'autant plus nécessaire de les étudier à part qu'ils vont nous révéler un aspect nouveau de la vie religieuse.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proposons d'appeler piaculaires les cérémonies de ce genre. Le terme de piaculum a, en effet, cet avantage que, tout en éveillant l'idée d'expia</w:t>
      </w:r>
      <w:r w:rsidRPr="00FB35F7">
        <w:rPr>
          <w:rFonts w:ascii="Times" w:hAnsi="Times New Roman" w:cs="Times"/>
        </w:rPr>
        <w:softHyphen/>
      </w:r>
      <w:r w:rsidRPr="00FB35F7">
        <w:rPr>
          <w:rFonts w:ascii="Times" w:hAnsi="Times New Roman" w:cs="Times"/>
        </w:rPr>
        <w:softHyphen/>
      </w:r>
      <w:r w:rsidRPr="00FB35F7">
        <w:rPr>
          <w:rFonts w:ascii="Times New Roman" w:hAnsi="Times New Roman" w:cs="Times"/>
        </w:rPr>
        <w:t>tion, il a pourtant une signification beaucoup plus étendue. Tout malheur, tout ce qui est de mauvais augure, tout ce qui inspire des sentiments d'angoisse ou de crainte nécessite un piaculum et, par conséquent, est appelé piaculaire </w:t>
      </w:r>
      <w:r w:rsidRPr="00FB35F7">
        <w:rPr>
          <w:rStyle w:val="Rimandonotaapidipagina"/>
          <w:rFonts w:ascii="Times" w:hAnsi="Times New Roman" w:cs="Times"/>
        </w:rPr>
        <w:footnoteReference w:id="236"/>
      </w:r>
      <w:r w:rsidRPr="00FB35F7">
        <w:rPr>
          <w:rFonts w:ascii="Times New Roman" w:hAnsi="Times New Roman" w:cs="Times"/>
        </w:rPr>
        <w:t>. Le mot paraît donc très propre à désigner des rites qui se célèbrent dans l'inquiétude ou dans la tristesse.</w:t>
      </w: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pStyle w:val="section"/>
        <w:rPr>
          <w:rFonts w:ascii="Times New Roman" w:hAnsi="Times New Roman"/>
        </w:rPr>
      </w:pPr>
      <w:bookmarkStart w:id="27" w:name="livre_3_chap_5_1"/>
      <w:r w:rsidRPr="00FB35F7">
        <w:rPr>
          <w:rFonts w:ascii="Times New Roman" w:hAnsi="Times New Roman"/>
        </w:rPr>
        <w:t>I</w:t>
      </w:r>
    </w:p>
    <w:bookmarkEnd w:id="27"/>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deuil nous offre un premier et important exemple de rites piaculaires.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Toutefois, entre les différents rites qui constituent le deuil une distinction est nécessaire. Il en est qui consistent en de pures abstentions : il est interdit de prononcer le nom du mort </w:t>
      </w:r>
      <w:r w:rsidRPr="00FB35F7">
        <w:rPr>
          <w:rStyle w:val="Rimandonotaapidipagina"/>
          <w:rFonts w:ascii="Times" w:hAnsi="Times New Roman" w:cs="Times"/>
        </w:rPr>
        <w:footnoteReference w:id="237"/>
      </w:r>
      <w:r w:rsidRPr="00FB35F7">
        <w:rPr>
          <w:rFonts w:ascii="Times New Roman" w:hAnsi="Times New Roman" w:cs="Times"/>
        </w:rPr>
        <w:t>, de séjourner à l'endroit où le décès a eu lieu </w:t>
      </w:r>
      <w:r w:rsidRPr="00FB35F7">
        <w:rPr>
          <w:rStyle w:val="Rimandonotaapidipagina"/>
          <w:rFonts w:ascii="Times" w:hAnsi="Times New Roman" w:cs="Times"/>
        </w:rPr>
        <w:footnoteReference w:id="238"/>
      </w:r>
      <w:r w:rsidRPr="00FB35F7">
        <w:rPr>
          <w:rFonts w:ascii="Times New Roman" w:hAnsi="Times New Roman" w:cs="Times"/>
        </w:rPr>
        <w:t xml:space="preserve"> ; les parents, surtout ceux du sexe féminin, doivent s'abstenir de toute communication avec les étrangers </w:t>
      </w:r>
      <w:r w:rsidRPr="00FB35F7">
        <w:rPr>
          <w:rStyle w:val="Rimandonotaapidipagina"/>
          <w:rFonts w:ascii="Times" w:hAnsi="Times New Roman" w:cs="Times"/>
        </w:rPr>
        <w:footnoteReference w:id="239"/>
      </w:r>
      <w:r w:rsidRPr="00FB35F7">
        <w:rPr>
          <w:rFonts w:ascii="Times New Roman" w:hAnsi="Times New Roman" w:cs="Times"/>
        </w:rPr>
        <w:t xml:space="preserve"> ; les occupations ordinaires de la vie sont suspendues, de même qu'en temps de fête </w:t>
      </w:r>
      <w:r w:rsidRPr="00FB35F7">
        <w:rPr>
          <w:rStyle w:val="Rimandonotaapidipagina"/>
          <w:rFonts w:ascii="Times" w:hAnsi="Times New Roman" w:cs="Times"/>
        </w:rPr>
        <w:footnoteReference w:id="240"/>
      </w:r>
      <w:r w:rsidRPr="00FB35F7">
        <w:rPr>
          <w:rFonts w:ascii="Times New Roman" w:hAnsi="Times New Roman" w:cs="Times"/>
        </w:rPr>
        <w:t>, etc. Toutes ces pratiques ressortissent au culte négatif, s'expliquent comme les rites du même genre et, par conséquent, n'ont pas à nous occuper ici. Elles viennent de ce que le mort est un être sacré. Par suite, tout ce qui est ou a été en rapports avec lui se trouve, par contagion, dans un état religieux qui exclut tout contact avec les choses de la vie profane.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 deuil n'est pas fait uniquement d'interdits à observer. Des actes positifs sont exigés dont les parents sont à la fois, les agents et les patients.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Très souvent, ces rites commencent dès le moment où la mort parait imminente. Voici une scène dont Spencer et Gillen ont été les témoins chez les Warramunga. Une cérémonie totémique venait d'être célébrée et la troupe des acteurs et des spectateurs quittait le terrain consacré quand, tout à coup, un cri perçant s'éleva du campement: un homme était en train d'y mourir. Aussitôt, toute la compagnie se mit à courir aussi vite que possible et la plupart, tout en courant, commençaient déjà à pousser des cris. « Entre nous et le camp, racontent ces observateurs, il y avait un ruisseau profond sur les bords duquel plusieurs hommes étaient assis ; disséminés çà et là, la tête penchée entre les genoux, ils pleuraient et gémissaient. En traversant le ruisseau, nous trouvâmes, suivant l'usage, le camp mis en pièces. Des femmes, venues de toutes les directions, étaient couchées sur le corps du mourant, tandis que d'autres, qui se tenaient tout autour, debout ou agenouillées, s'enfonçaient dans le sommet de la tête la pointe de leurs bâtons à déterrer les ignames, se faisant ainsi des blessures d'où le sang coulait à flots sur leur visage. En même temps, elles faisaient entendre une plainte ininterrompue. Sur ces entrefaites, des hommes accourent ; eux aussi se jettent sur le corps tandis que les femmes se relèvent ; au bout de quelques instants, on ne voit plus qu'une masse grouillante de corps entrelacés. A côté, trois hommes de la classe Thapungarti, qui portaient encore leurs décorations cérémonielles, étaient assis, et, le dos tourné au mourant, poussaient des gémissements aigus. Au bout d'une minute ou deux, un autre homme de la même classe se précipite sur le terrain, hurlant de douleur et brandissant un couteau de pierre. Aussitôt qu'il a atteint le camp, il se fait des incisions profondes à travers les cuisses, dans les muscles, si bien que, incapable de se tenir, il finit par tomber par terre au milieu d'un groupe ; deux ou trois femmes de ses parentes l'en retirent et appliquent leurs lèvres sur ses blessures béantes, tandis qu'il gît inanimé sur le sol ». Le malade ne mourut que tard dans la soirée. Aussitôt qu'il eut rendu le dernier soupir, la même scène recommença à nouveaux frais. Seulement, cette fois, les gémissements étaient encore plus perçants. Hommes et femmes, saisis par une véritable frénésie, couraient, s'agitaient, se faisaient des blessures avec des couteaux, avec des bâtons pointus ; les femmes se frappaient les unes les autres sans qu'aucune cherchât à se garantir d'es coups. Enfin, au bout d'une heure, une procession se déroula, à la lueur des torches, à travers la plaine, jusqu'à l'arbre dans les branches duquel le corps fut déposé </w:t>
      </w:r>
      <w:r w:rsidRPr="00FB35F7">
        <w:rPr>
          <w:rStyle w:val="Rimandonotaapidipagina"/>
          <w:rFonts w:ascii="Times" w:hAnsi="Times New Roman" w:cs="Times"/>
        </w:rPr>
        <w:footnoteReference w:id="241"/>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Quelle que soit la violence de ces manifestations, elles sont étroitement réglées par l'éti</w:t>
      </w:r>
      <w:r w:rsidRPr="00FB35F7">
        <w:rPr>
          <w:rFonts w:ascii="Times" w:hAnsi="Times New Roman" w:cs="Times"/>
        </w:rPr>
        <w:softHyphen/>
      </w:r>
      <w:r w:rsidRPr="00FB35F7">
        <w:rPr>
          <w:rFonts w:ascii="Times New Roman" w:hAnsi="Times New Roman" w:cs="Times"/>
        </w:rPr>
        <w:t>quette. Les individus qui se font des incisions sanglantes sont désignés par l'usage : ils doi</w:t>
      </w:r>
      <w:r w:rsidRPr="00FB35F7">
        <w:rPr>
          <w:rFonts w:ascii="Times" w:hAnsi="Times New Roman" w:cs="Times"/>
        </w:rPr>
        <w:softHyphen/>
      </w:r>
      <w:r w:rsidRPr="00FB35F7">
        <w:rPr>
          <w:rFonts w:ascii="Times" w:hAnsi="Times New Roman" w:cs="Times"/>
        </w:rPr>
        <w:softHyphen/>
      </w:r>
      <w:r w:rsidRPr="00FB35F7">
        <w:rPr>
          <w:rFonts w:ascii="Times New Roman" w:hAnsi="Times New Roman" w:cs="Times"/>
        </w:rPr>
        <w:t>vent soutenir avec le mort des rapports de parenté déterminés. Ainsi, chez les Warramunga, dans le cas observé par Spencer et Gillen, ceux qui se tailladaient les cuisses étaient le grand-père maternel du défunt, son oncle maternel, l'oncle maternel et le frère de sa femme </w:t>
      </w:r>
      <w:r w:rsidRPr="00FB35F7">
        <w:rPr>
          <w:rStyle w:val="Rimandonotaapidipagina"/>
          <w:rFonts w:ascii="Times" w:hAnsi="Times New Roman" w:cs="Times"/>
        </w:rPr>
        <w:footnoteReference w:id="242"/>
      </w:r>
      <w:r w:rsidRPr="00FB35F7">
        <w:rPr>
          <w:rFonts w:ascii="Times New Roman" w:hAnsi="Times New Roman" w:cs="Times"/>
        </w:rPr>
        <w:t>. D'autres sont tenus de se couper les favoris et les cheveux et de se couvrir ensuite le cuir chevelu de terre de pipe. Les femmes ont des obligations particulièrement sévères. Elles doivent se couper les cheveux, s'enduire de terre de pipe le corps tout entier ; de plus, un silence absolu leur est imposé pendant tout le temps du deuil qui peut durer jusqu'à deux ans. Par suite de cette interdiction, il n'est pas rare que, chez les Warramunga, toutes les femmes d'un campement soient condamnées au silence le plus complet. Elles en prennent si bien l'habitude que, même après l'expiration de la période de deuil, elles renoncent volontairement au langage parlé et emploient de préférence le langage par gestes qu'elles manient, d'ailleurs, avec une remarquable habileté. Spencer et Gillen ont connu une vieille femme qui était restée sans parler pendant plus de vingt-quatre ans </w:t>
      </w:r>
      <w:r w:rsidRPr="00FB35F7">
        <w:rPr>
          <w:rStyle w:val="Rimandonotaapidipagina"/>
          <w:rFonts w:ascii="Times" w:hAnsi="Times New Roman" w:cs="Times"/>
        </w:rPr>
        <w:footnoteReference w:id="24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cérémonie que nous avons décrite ouvre une longue série de rites qui se succèdent pendant des semaines et des mois. On la renouvelle les jours suivants, sous des formes diverses. Des groupes d'hommes et de femmes se tiennent assis par terre, pleurant, se lamen</w:t>
      </w:r>
      <w:r w:rsidRPr="00FB35F7">
        <w:rPr>
          <w:rFonts w:ascii="Times" w:hAnsi="Times New Roman" w:cs="Times"/>
        </w:rPr>
        <w:softHyphen/>
      </w:r>
      <w:r w:rsidRPr="00FB35F7">
        <w:rPr>
          <w:rFonts w:ascii="Times New Roman" w:hAnsi="Times New Roman" w:cs="Times"/>
        </w:rPr>
        <w:t>tant, s'embrassant à des moments déterminés. Ces embrassements rituels se répètent fréquem</w:t>
      </w:r>
      <w:r w:rsidRPr="00FB35F7">
        <w:rPr>
          <w:rFonts w:ascii="Times" w:hAnsi="Times New Roman" w:cs="Times"/>
        </w:rPr>
        <w:softHyphen/>
      </w:r>
      <w:r w:rsidRPr="00FB35F7">
        <w:rPr>
          <w:rFonts w:ascii="Times New Roman" w:hAnsi="Times New Roman" w:cs="Times"/>
        </w:rPr>
        <w:t>ment pendant la durée du deuil. Les individus éprouvent, semble-t-il, le besoin de se rapprocher et de communier plus étroitement; on les voit serrés les uns contre les autres et entrelacés au point de former une seule et même masse d'où s'échappent de bruyants gémis</w:t>
      </w:r>
      <w:r w:rsidRPr="00FB35F7">
        <w:rPr>
          <w:rFonts w:ascii="Times" w:hAnsi="Times New Roman" w:cs="Times"/>
        </w:rPr>
        <w:softHyphen/>
      </w:r>
      <w:r w:rsidRPr="00FB35F7">
        <w:rPr>
          <w:rFonts w:ascii="Times New Roman" w:hAnsi="Times New Roman" w:cs="Times"/>
        </w:rPr>
        <w:t>se</w:t>
      </w:r>
      <w:r w:rsidRPr="00FB35F7">
        <w:rPr>
          <w:rFonts w:ascii="Times" w:hAnsi="Times New Roman" w:cs="Times"/>
        </w:rPr>
        <w:softHyphen/>
      </w:r>
      <w:r w:rsidRPr="00FB35F7">
        <w:rPr>
          <w:rFonts w:ascii="Times New Roman" w:hAnsi="Times New Roman" w:cs="Times"/>
        </w:rPr>
        <w:t>ments </w:t>
      </w:r>
      <w:r w:rsidRPr="00FB35F7">
        <w:rPr>
          <w:rStyle w:val="Rimandonotaapidipagina"/>
          <w:rFonts w:ascii="Times" w:hAnsi="Times New Roman" w:cs="Times"/>
        </w:rPr>
        <w:footnoteReference w:id="244"/>
      </w:r>
      <w:r w:rsidRPr="00FB35F7">
        <w:rPr>
          <w:rFonts w:ascii="Times New Roman" w:hAnsi="Times New Roman" w:cs="Times"/>
        </w:rPr>
        <w:t>. Entre temps, les femmes recommencent à se lacérer la tête, et, pour exaspérer les blessures qu'elles se font, elles vont jusqu'à y appliquer des pointes de bâtons rougies au feu </w:t>
      </w:r>
      <w:r w:rsidRPr="00FB35F7">
        <w:rPr>
          <w:rStyle w:val="Rimandonotaapidipagina"/>
          <w:rFonts w:ascii="Times" w:hAnsi="Times New Roman" w:cs="Times"/>
        </w:rPr>
        <w:footnoteReference w:id="24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 sortes de pratiques sont générales dans toute l'Australie. Les rites funéraires, c'est-à-dire les soins rituels donnés au cadavre, la manière dont il est enseveli, etc., changent avec les tribus </w:t>
      </w:r>
      <w:r w:rsidRPr="00FB35F7">
        <w:rPr>
          <w:rStyle w:val="Rimandonotaapidipagina"/>
          <w:rFonts w:ascii="Times" w:hAnsi="Times New Roman" w:cs="Times"/>
        </w:rPr>
        <w:footnoteReference w:id="246"/>
      </w:r>
      <w:r w:rsidRPr="00FB35F7">
        <w:rPr>
          <w:rFonts w:ascii="Times New Roman" w:hAnsi="Times New Roman" w:cs="Times"/>
        </w:rPr>
        <w:t>, et, dans une même tribu, ils varient avec l'âge, le sexe, la valeur sociale des indi</w:t>
      </w:r>
      <w:r w:rsidRPr="00FB35F7">
        <w:rPr>
          <w:rFonts w:ascii="Times" w:hAnsi="Times New Roman" w:cs="Times"/>
        </w:rPr>
        <w:softHyphen/>
      </w:r>
      <w:r w:rsidRPr="00FB35F7">
        <w:rPr>
          <w:rFonts w:ascii="Times New Roman" w:hAnsi="Times New Roman" w:cs="Times"/>
        </w:rPr>
        <w:t>vidus </w:t>
      </w:r>
      <w:r w:rsidRPr="00FB35F7">
        <w:rPr>
          <w:rStyle w:val="Rimandonotaapidipagina"/>
          <w:rFonts w:ascii="Times" w:hAnsi="Times New Roman" w:cs="Times"/>
        </w:rPr>
        <w:footnoteReference w:id="247"/>
      </w:r>
      <w:r w:rsidRPr="00FB35F7">
        <w:rPr>
          <w:rFonts w:ascii="Times New Roman" w:hAnsi="Times New Roman" w:cs="Times"/>
        </w:rPr>
        <w:t>. Mais les cérémonies du deuil proprement dit reproduisent partout le même thème; les variantes ne sont que de détail. Partout, c'est le même silence entrecoupé de gémis</w:t>
      </w:r>
      <w:r w:rsidRPr="00FB35F7">
        <w:rPr>
          <w:rFonts w:ascii="Times" w:hAnsi="Times New Roman" w:cs="Times"/>
        </w:rPr>
        <w:softHyphen/>
      </w:r>
      <w:r w:rsidRPr="00FB35F7">
        <w:rPr>
          <w:rFonts w:ascii="Times New Roman" w:hAnsi="Times New Roman" w:cs="Times"/>
        </w:rPr>
        <w:t>se</w:t>
      </w:r>
      <w:r w:rsidRPr="00FB35F7">
        <w:rPr>
          <w:rFonts w:ascii="Times" w:hAnsi="Times New Roman" w:cs="Times"/>
        </w:rPr>
        <w:softHyphen/>
      </w:r>
      <w:r w:rsidRPr="00FB35F7">
        <w:rPr>
          <w:rFonts w:ascii="Times New Roman" w:hAnsi="Times New Roman" w:cs="Times"/>
        </w:rPr>
        <w:t>ments </w:t>
      </w:r>
      <w:r w:rsidRPr="00FB35F7">
        <w:rPr>
          <w:rStyle w:val="Rimandonotaapidipagina"/>
          <w:rFonts w:ascii="Times" w:hAnsi="Times New Roman" w:cs="Times"/>
        </w:rPr>
        <w:footnoteReference w:id="248"/>
      </w:r>
      <w:r w:rsidRPr="00FB35F7">
        <w:rPr>
          <w:rFonts w:ascii="Times New Roman" w:hAnsi="Times New Roman" w:cs="Times"/>
        </w:rPr>
        <w:t>, la même obligation de se couper les cheveux ou la barbe </w:t>
      </w:r>
      <w:r w:rsidRPr="00FB35F7">
        <w:rPr>
          <w:rStyle w:val="Rimandonotaapidipagina"/>
          <w:rFonts w:ascii="Times" w:hAnsi="Times New Roman" w:cs="Times"/>
        </w:rPr>
        <w:footnoteReference w:id="249"/>
      </w:r>
      <w:r w:rsidRPr="00FB35F7">
        <w:rPr>
          <w:rFonts w:ascii="Times New Roman" w:hAnsi="Times New Roman" w:cs="Times"/>
        </w:rPr>
        <w:t>, de s'enduire la tête de terre de pipe, ou de se la couvrir de cendres, voire même d'excréments </w:t>
      </w:r>
      <w:r w:rsidRPr="00FB35F7">
        <w:rPr>
          <w:rStyle w:val="Rimandonotaapidipagina"/>
          <w:rFonts w:ascii="Times" w:hAnsi="Times New Roman" w:cs="Times"/>
        </w:rPr>
        <w:footnoteReference w:id="250"/>
      </w:r>
      <w:r w:rsidRPr="00FB35F7">
        <w:rPr>
          <w:rFonts w:ascii="Times New Roman" w:hAnsi="Times New Roman" w:cs="Times"/>
        </w:rPr>
        <w:t xml:space="preserve"> ; partout, enfin, c'est la même fureur à se frapper, à se lacérer, à se brûler. Dans le centre de Victoria, « quand un cas de mort survient, les femmes pleurent, se lamentent, se déchirent la peau de tempes avec leurs ongles. Les parents du défunt se lacèrent avec rage, spécialement si c'est un fils qu'ils ont perdu. Le père se frappe la tête avec un tomahawk et pousse d'amers gémissements. La mère, assise près du feu, se brûle la poitrine et le ventre avec un bâton rougi au feu... Parfois, ces brûlures sont si cruelles que la mort en résulte » </w:t>
      </w:r>
      <w:r w:rsidRPr="00FB35F7">
        <w:rPr>
          <w:rStyle w:val="Rimandonotaapidipagina"/>
          <w:rFonts w:ascii="Times" w:hAnsi="Times New Roman" w:cs="Times"/>
        </w:rPr>
        <w:footnoteReference w:id="251"/>
      </w:r>
      <w:r w:rsidRPr="00FB35F7">
        <w:rPr>
          <w:rFonts w:ascii="Times New Roman" w:hAnsi="Times New Roman" w:cs="Times"/>
        </w:rPr>
        <w:t>. D'après un récit de Broug Smyth, voici ce qui se passe dans les tribus méridionales du même État. Une fois que le corps est descendu dans la fosse, « la veuve commence ses funèbres cérémonies. Elle se coupe les cheveux sur le devant de la tête et, parvenue à un véritable état de frénésie, elle saisit des bâtons rougis au feu et se les applique sur la poitrine, sur les bras, les jambes, les cuisses. Elle semble se délecter aux tortures qu'elle s'inflige. Il serait téméraire et, d'ailleurs, inutile de chercher à l'arrêter. Quand, épuisée, elle ne peut plus marcher, elle s'efforce encore de donner des coups de pieds dans les cendres du foyer et de les lancer dans toutes les directions.</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Tombée par terre, elle prend les cendres dans ses mains et en frotte ses blessures ; puis elle S'égratigne la figure (la seule partie du corps que les bâtons passés au feu n'aient pas touchée). Le sang qui coule vient se mêler aux cendres qui recouvrent ses plaies et, tout en s'égratignant, elle pousse des cris et des lamentations </w:t>
      </w:r>
      <w:r w:rsidRPr="00FB35F7">
        <w:rPr>
          <w:rStyle w:val="Rimandonotaapidipagina"/>
          <w:rFonts w:ascii="Times" w:hAnsi="Times New Roman" w:cs="Times"/>
        </w:rPr>
        <w:footnoteReference w:id="252"/>
      </w:r>
      <w:r w:rsidRPr="00FB35F7">
        <w:rPr>
          <w:rFonts w:ascii="Times New Roman" w:hAnsi="Times New Roman" w:cs="Times"/>
        </w:rPr>
        <w:t xml:space="preserve">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La description que nous donne Howitt des rîtes du deuil chez les Kurnai ressemble singulièrement aux précédentes. Une fois que le corps a été enveloppé dans des peaux d'opossum et enfermé dans un linceul d'écorce, une hutte est construite où les parents se réunissent. « Là, étendus par terre, ils se lamentent sur leur sort, disant par exemple : « Pourquoi nous as-tu laissés? » De temps en temps, leur douleur est exaspérée par les gémissements perçants que pousse l'un d'eux : la femme du défunt crie </w:t>
      </w:r>
      <w:r w:rsidRPr="00FB35F7">
        <w:rPr>
          <w:rFonts w:ascii="Times New Roman" w:hAnsi="Times New Roman" w:cs="Times"/>
          <w:i/>
          <w:iCs/>
        </w:rPr>
        <w:t xml:space="preserve">mon mari est mort, ou </w:t>
      </w:r>
      <w:r w:rsidRPr="00FB35F7">
        <w:rPr>
          <w:rFonts w:ascii="Times New Roman" w:hAnsi="Times New Roman" w:cs="Times"/>
        </w:rPr>
        <w:t xml:space="preserve">la mère, mon </w:t>
      </w:r>
      <w:r w:rsidRPr="00FB35F7">
        <w:rPr>
          <w:rFonts w:ascii="Times New Roman" w:hAnsi="Times New Roman" w:cs="Times"/>
          <w:i/>
          <w:iCs/>
        </w:rPr>
        <w:t xml:space="preserve">enfant est mort. </w:t>
      </w:r>
      <w:r w:rsidRPr="00FB35F7">
        <w:rPr>
          <w:rFonts w:ascii="Times New Roman" w:hAnsi="Times New Roman" w:cs="Times"/>
        </w:rPr>
        <w:t>Chacun des assistants répète le même cri : les mots seuls changent suivant le lien de parenté qui les unit au mort. Avec des pierres tranchantes ou des tomahawks, ils se frappent et se déchirent jusqu'à ce que leurs têtes et leurs corps ruissellent de sang. Les pleurs et les gémissements continuent toute la nuit » </w:t>
      </w:r>
      <w:r w:rsidRPr="00FB35F7">
        <w:rPr>
          <w:rStyle w:val="Rimandonotaapidipagina"/>
          <w:rFonts w:ascii="Times" w:hAnsi="Times New Roman" w:cs="Times"/>
        </w:rPr>
        <w:footnoteReference w:id="25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tristesse n'est pas le seul sentiment qui s'exprime au cours de ces cérémonies ; une sorte de colère vient généralement s'y mêler. Les parents ont comme un besoin de venger, par un moyen quelconque, la mort survenue. On les voit se précipiter les uns sur les autres et chercher à se blesser mutuellement. Quelquefois l'attaque est réelle ; quelquefois, elle est feinte </w:t>
      </w:r>
      <w:r w:rsidRPr="00FB35F7">
        <w:rPr>
          <w:rStyle w:val="Rimandonotaapidipagina"/>
          <w:rFonts w:ascii="Times" w:hAnsi="Times New Roman" w:cs="Times"/>
        </w:rPr>
        <w:footnoteReference w:id="254"/>
      </w:r>
      <w:r w:rsidRPr="00FB35F7">
        <w:rPr>
          <w:rFonts w:ascii="Times New Roman" w:hAnsi="Times New Roman" w:cs="Times"/>
        </w:rPr>
        <w:t>. Il y a même des cas où des sortes de combats singuliers sont régulièrement organisés. Chez les Kaitish, la chevelure du défunt revient de droit à son gendre. Celui-ci, en retour, est tenu de s'en aller, accompagné par une troupe de parents et d'amis, provoquer un de ses frères tribaux, c'est-à-dire un homme qui appartient à la même classe matrimoniale que lui et qui, à ce titre, aurait pu épouser également la fille du mort. La provocation ne peut être refusée et les deux combattants s'infligent de sérieuses blessures aux épaules et aux cuisses. Le duel terminé, le provocateur remet à son adversaire la chevelure dont il avait provisoirement hérité. Ce dernier s'en va, à son tour, provoquer et combattre un autre de ses frères tribaux à qui la précieuse relique est ensuite transmise, mais toujours à titre provisoire ; elle passe ainsi de mains en mains et circule de groupe en groupe </w:t>
      </w:r>
      <w:r w:rsidRPr="00FB35F7">
        <w:rPr>
          <w:rStyle w:val="Rimandonotaapidipagina"/>
          <w:rFonts w:ascii="Times" w:hAnsi="Times New Roman" w:cs="Times"/>
        </w:rPr>
        <w:footnoteReference w:id="255"/>
      </w:r>
      <w:r w:rsidRPr="00FB35F7">
        <w:rPr>
          <w:rFonts w:ascii="Times New Roman" w:hAnsi="Times New Roman" w:cs="Times"/>
        </w:rPr>
        <w:t>. D'ailleurs, dans l'espèce de rage avec laquelle chaque parent se frappe, se brûle ou se taillade, il entre déjà quelque chose de ces mêmes sentiments : une douleur qui atteint ce paroxysme ne va pas sans colère. On ne peut pas n'être pas frappé des ressemblances que représentent ces pratiques avec celles de la vendetta. Les unes et les autres procèdent de ce même principe que la mort appelle des effusions de sang. Toute la différence est que, dans un cas, les victi</w:t>
      </w:r>
      <w:r w:rsidRPr="00FB35F7">
        <w:rPr>
          <w:rFonts w:ascii="Times" w:hAnsi="Times New Roman" w:cs="Times"/>
        </w:rPr>
        <w:softHyphen/>
      </w:r>
      <w:r w:rsidRPr="00FB35F7">
        <w:rPr>
          <w:rFonts w:ascii="Times New Roman" w:hAnsi="Times New Roman" w:cs="Times"/>
        </w:rPr>
        <w:t>mes sont des parents et, dans l'autre, des étrangers. Nous n'avons pas à traiter spécialement de la vendetta qui ressortit plutôt à l'étude des institutions juridiques ; il convenait pourtant de montrer comment elle se rattache aux rites du deuil dont elle annonce la fin </w:t>
      </w:r>
      <w:r w:rsidRPr="00FB35F7">
        <w:rPr>
          <w:rStyle w:val="Rimandonotaapidipagina"/>
          <w:rFonts w:ascii="Times" w:hAnsi="Times New Roman" w:cs="Times"/>
        </w:rPr>
        <w:footnoteReference w:id="256"/>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Dans certaines sociétés, le deuil se termine par une cérémonie dont l'effervescence atteint ou dépasse encore celle qui se produit lors des cérémonies inaugurales. Chez les Arunta, ce rite de clôture est appelé </w:t>
      </w:r>
      <w:r w:rsidRPr="00FB35F7">
        <w:rPr>
          <w:rFonts w:ascii="Times New Roman" w:hAnsi="Times New Roman" w:cs="Times"/>
          <w:i/>
          <w:iCs/>
        </w:rPr>
        <w:t xml:space="preserve">Urpmilchima. </w:t>
      </w:r>
      <w:r w:rsidRPr="00FB35F7">
        <w:rPr>
          <w:rFonts w:ascii="Times New Roman" w:hAnsi="Times New Roman" w:cs="Times"/>
        </w:rPr>
        <w:t>Spencer et GILLEN ont assisté à deux de ces rites. L'un était célébré en l'honneur d'un homme, l'autre, d'une femme. Voici la description qu'ils nous donnent du dernier </w:t>
      </w:r>
      <w:r w:rsidRPr="00FB35F7">
        <w:rPr>
          <w:rStyle w:val="Rimandonotaapidipagina"/>
          <w:rFonts w:ascii="Times" w:hAnsi="Times New Roman" w:cs="Times"/>
        </w:rPr>
        <w:footnoteReference w:id="257"/>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commence par fabriquer des ornements d'un genre très particulier, nommés Chimurilia par les hommes et Aramurilia par les femmes. Avec une sorte de résine, on fixe de petits os d'animaux, antérieurement recueillis et mis de côté, à des boucles de cheveux que des parentes de la morte ont fournies. On attache ces sortes de pendentifs à un de ces bandeaux de tête que les femmes portent communément et on y ajoute des plumes de kakatoès blanc et de perroquet. Ces préparatifs terminés, les femmes s'assemblent dans leur camp. Elles se peignent le corps de couleurs différentes suivant leur degré de parenté avec la défunte. Après s'être tenues embrassées les unes les autres pendant une dizaine de minutes, tout en faisant entendre un gémissement ininterrompu, elles se mettent en marche pour le tombeau. A une certaine distance, elles rencontrent un frère de sang de la morte, qu'accom</w:t>
      </w:r>
      <w:r w:rsidRPr="00FB35F7">
        <w:rPr>
          <w:rFonts w:ascii="Times" w:hAnsi="Times New Roman" w:cs="Times"/>
        </w:rPr>
        <w:softHyphen/>
      </w:r>
      <w:r w:rsidRPr="00FB35F7">
        <w:rPr>
          <w:rFonts w:ascii="Times New Roman" w:hAnsi="Times New Roman" w:cs="Times"/>
        </w:rPr>
        <w:t>pa</w:t>
      </w:r>
      <w:r w:rsidRPr="00FB35F7">
        <w:rPr>
          <w:rFonts w:ascii="Times" w:hAnsi="Times New Roman" w:cs="Times"/>
        </w:rPr>
        <w:softHyphen/>
      </w:r>
      <w:r w:rsidRPr="00FB35F7">
        <w:rPr>
          <w:rFonts w:ascii="Times New Roman" w:hAnsi="Times New Roman" w:cs="Times"/>
        </w:rPr>
        <w:t xml:space="preserve">gnent quelques-uns de ses frères tribaux. Tout le monde s'assied par terre et les lamentations recommencent. Un </w:t>
      </w:r>
      <w:r w:rsidRPr="00FB35F7">
        <w:rPr>
          <w:rFonts w:ascii="Times New Roman" w:hAnsi="Times New Roman" w:cs="Times"/>
          <w:i/>
          <w:iCs/>
        </w:rPr>
        <w:t>pitchi</w:t>
      </w:r>
      <w:r w:rsidRPr="00FB35F7">
        <w:rPr>
          <w:rFonts w:ascii="Times New Roman" w:hAnsi="Times New Roman" w:cs="Times"/>
        </w:rPr>
        <w:t> </w:t>
      </w:r>
      <w:r w:rsidRPr="00FB35F7">
        <w:rPr>
          <w:rStyle w:val="Rimandonotaapidipagina"/>
          <w:rFonts w:ascii="Times" w:hAnsi="Times New Roman" w:cs="Times"/>
        </w:rPr>
        <w:footnoteReference w:id="258"/>
      </w:r>
      <w:r w:rsidRPr="00FB35F7">
        <w:rPr>
          <w:rFonts w:ascii="Times New Roman" w:hAnsi="Times New Roman" w:cs="Times"/>
          <w:i/>
          <w:iCs/>
        </w:rPr>
        <w:t xml:space="preserve"> </w:t>
      </w:r>
      <w:r w:rsidRPr="00FB35F7">
        <w:rPr>
          <w:rFonts w:ascii="Times New Roman" w:hAnsi="Times New Roman" w:cs="Times"/>
        </w:rPr>
        <w:t xml:space="preserve">qui contient les Chimurilia est alors présenté au frère aîné qui le serre contre son estomac ; on dit que c'est un moyen d'apaiser sa douleur. On sort un de ces Chimurilia et la mère de la morte s'en coiffe pendant quelques instants; puis, il est remis dans le </w:t>
      </w:r>
      <w:r w:rsidRPr="00FB35F7">
        <w:rPr>
          <w:rFonts w:ascii="Times New Roman" w:hAnsi="Times New Roman" w:cs="Times"/>
          <w:i/>
          <w:iCs/>
        </w:rPr>
        <w:t xml:space="preserve">pitchi </w:t>
      </w:r>
      <w:r w:rsidRPr="00FB35F7">
        <w:rPr>
          <w:rFonts w:ascii="Times New Roman" w:hAnsi="Times New Roman" w:cs="Times"/>
        </w:rPr>
        <w:t>que les autres hommes serrent, à tour de rôle, contre leur poitrine. Enfin, le frère met les Chimurilia sur la tête des deux sœurs aînées et on reprend le chemin du tombeau. En route, la mère se jette à plusieurs reprises par terre, cherchant à se taillader la tête avec un bâton pointu. A chaque fois, les autres femmes la relèvent et semblent préoccupées de l'empêcher de se faire du mal. Une fois parvenue au tombeau, elle se précipite sur le tertre, s'efforce de le détruire avec ses mains, tandis que les autres femmes dansent littéralement sur elle. Les mères tribales et les tantes (sœurs du père de la morte) suivent son exemple ; elles aussi se jettent sur le sol, se frappent, se déchirent mutuellement ; leur corps finit par être tout ruisselant de sang. Au bout d'un certain temps, on les entraîne à l'écart. Les sœurs aînées font alors dans la terre du tombeau un trou où elles déposent les Chimurilia, préalablement mis en pièces. Une fois de plus, les mères tribales se jettent par terre et se tailladent la tête les unes des autres. A ce moment, « les pleurs et les gémissements des femmes qui se tenaient tout autour semblaient les porter au dernier degré de l'excitation. Le sang qui coulait tout le long de leur corps par-dessus la terre de pipe dont il était enduit leur donnait un air de spectres. A la fin, la vieille mère resta seule couchée sur le tombeau, complètement épuisée et gémissant faiblement. » Alors les autres la relevèrent, la débarrassèrent de la terre de pipe dont elle était recouverte ; ce fut la fin de la cérémonie et du deuil </w:t>
      </w:r>
      <w:r w:rsidRPr="00FB35F7">
        <w:rPr>
          <w:rStyle w:val="Rimandonotaapidipagina"/>
          <w:rFonts w:ascii="Times" w:hAnsi="Times New Roman" w:cs="Times"/>
        </w:rPr>
        <w:footnoteReference w:id="259"/>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Chez les Warramunga, le rite final présente des caractères assez particuliers. Les effu</w:t>
      </w:r>
      <w:r w:rsidRPr="00FB35F7">
        <w:rPr>
          <w:rFonts w:ascii="Times" w:hAnsi="Times New Roman" w:cs="Times"/>
        </w:rPr>
        <w:softHyphen/>
      </w:r>
      <w:r w:rsidRPr="00FB35F7">
        <w:rPr>
          <w:rFonts w:ascii="Times New Roman" w:hAnsi="Times New Roman" w:cs="Times"/>
        </w:rPr>
        <w:t>sions de sang ne semblent pas y tenir de place ; mais l'effervescence collective se traduit d'une autre manière.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Chez ce peuple, le corps avant d'être définitivement enterré, est exposé sur une sorte de plate-forme que l'on place dans les branches d'un arbre ; on le laisse s'y décomposer lente</w:t>
      </w:r>
      <w:r w:rsidRPr="00FB35F7">
        <w:rPr>
          <w:rFonts w:ascii="Times" w:hAnsi="Times New Roman" w:cs="Times"/>
        </w:rPr>
        <w:softHyphen/>
      </w:r>
      <w:r w:rsidRPr="00FB35F7">
        <w:rPr>
          <w:rFonts w:ascii="Times New Roman" w:hAnsi="Times New Roman" w:cs="Times"/>
        </w:rPr>
        <w:t>ment jusqu'à ce qu'il ne reste plus que les os. On les recueille alors, et, à l'exception d'un humé</w:t>
      </w:r>
      <w:r w:rsidRPr="00FB35F7">
        <w:rPr>
          <w:rFonts w:ascii="Times" w:hAnsi="Times New Roman" w:cs="Times"/>
        </w:rPr>
        <w:softHyphen/>
      </w:r>
      <w:r w:rsidRPr="00FB35F7">
        <w:rPr>
          <w:rFonts w:ascii="Times New Roman" w:hAnsi="Times New Roman" w:cs="Times"/>
        </w:rPr>
        <w:t>rus, on les dépose à l'intérieur d'une fourmilière. L'humérus est enveloppé dans un étui d'écorce que l'on orne de différentes manières. L'étui est apporté au camp au milieu des cris et des gémissements des femmes. Pendant les jours qui suivent, on célèbre une série de cérémonies totémiques qui se rapportent au totem du défunt et à l'histoire mythique des ancêtres dont le clan est descendu. C'est quand toutes ces cérémonies sont terminées qu'on procède au rite de clôture.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Une tranchée, profonde d'un pied et longue de quinze, est pratiquée sur le terrain cérémo</w:t>
      </w:r>
      <w:r w:rsidRPr="00FB35F7">
        <w:rPr>
          <w:rFonts w:ascii="Times" w:hAnsi="Times New Roman" w:cs="Times"/>
        </w:rPr>
        <w:softHyphen/>
      </w:r>
      <w:r w:rsidRPr="00FB35F7">
        <w:rPr>
          <w:rFonts w:ascii="Times New Roman" w:hAnsi="Times New Roman" w:cs="Times"/>
        </w:rPr>
        <w:t>niel. Auparavant, on a exécuté sur le sol, à quelque distance de là, un dessin totémi</w:t>
      </w:r>
      <w:r w:rsidRPr="00FB35F7">
        <w:rPr>
          <w:rFonts w:ascii="Times" w:hAnsi="Times New Roman" w:cs="Times"/>
        </w:rPr>
        <w:softHyphen/>
      </w:r>
      <w:r w:rsidRPr="00FB35F7">
        <w:rPr>
          <w:rFonts w:ascii="Times New Roman" w:hAnsi="Times New Roman" w:cs="Times"/>
        </w:rPr>
        <w:t>que qui représente le totem du mort et certains des endroits où l'ancêtre a séjourné. Tout près de ce dessin, une petite fosse a été creusée dans la terre. Dix hommes décorés s'avancent alors les uns derrière les autres et, les mains croisées derrière la tête, les jambes écartées, ils se tiennent au-dessus de la tranchée. A un signal donné, les femmes accourent du camp dans le plus profond silence ; une fois à proximité, elles se mettent en file indienne, la dernière tenant entre ses mains l'étui qui contient l'humérus. Puis, toutes se jettent par terre et, marchant sur les mains et sur les genoux, elles passent, tout le long de la tranchée, entre les jambes écartées des hommes. La scène dénote un grand état d'excitation sexuelle. Aussitôt que la dernière femme a passé, on lui enlève l'étui, on le porte vers la fosse auprès de laquelle se tient un vieillard; celui-ci, d'un coup sec, brise l'os et on enterre précipitamment les débris. Pendant ce temps, les femmes sont restées plus loin, le dos tourné à la scène qu'il leur est interdit de regarder. Mais quand elles entendent le coup de hache, elles s'enfuient en poussant des cris et des gémissements. Le rite est accompli; le deuil est terminé </w:t>
      </w:r>
      <w:r w:rsidRPr="00FB35F7">
        <w:rPr>
          <w:rStyle w:val="Rimandonotaapidipagina"/>
          <w:rFonts w:ascii="Times" w:hAnsi="Times New Roman" w:cs="Times"/>
        </w:rPr>
        <w:footnoteReference w:id="26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28" w:name="livre_3_chap_5_2"/>
      <w:r w:rsidRPr="00FB35F7">
        <w:rPr>
          <w:rFonts w:ascii="Times New Roman" w:hAnsi="Times New Roman"/>
        </w:rPr>
        <w:t>II</w:t>
      </w:r>
    </w:p>
    <w:bookmarkEnd w:id="28"/>
    <w:p w:rsidR="003F2F8E" w:rsidRPr="00FB35F7" w:rsidRDefault="003F2F8E">
      <w:pPr>
        <w:ind w:firstLine="0"/>
        <w:jc w:val="both"/>
        <w:rPr>
          <w:rFonts w:ascii="Times New Roman" w:hAnsi="Times New Roman" w:cs="Times"/>
          <w:sz w:val="20"/>
          <w:szCs w:val="20"/>
          <w:effect w:val="none"/>
        </w:rPr>
      </w:pPr>
      <w:r w:rsidRPr="00FB35F7">
        <w:rPr>
          <w:rFonts w:ascii="Times" w:hAnsi="Times New Roman" w:cs="Times"/>
          <w:sz w:val="20"/>
          <w:szCs w:val="20"/>
          <w:effect w:val="none"/>
        </w:rPr>
        <w:fldChar w:fldCharType="begin"/>
      </w:r>
      <w:r w:rsidRPr="00FB35F7">
        <w:rPr>
          <w:rFonts w:ascii="Times New Roman" w:hAnsi="Times New Roman" w:cs="Times"/>
          <w:sz w:val="20"/>
          <w:szCs w:val="20"/>
          <w:effect w:val="none"/>
        </w:rPr>
        <w:instrText xml:space="preserve"> </w:instrText>
      </w:r>
      <w:r w:rsidR="002143E4">
        <w:rPr>
          <w:rFonts w:ascii="Times New Roman" w:hAnsi="Times New Roman" w:cs="Times"/>
          <w:sz w:val="20"/>
          <w:szCs w:val="20"/>
          <w:effect w:val="none"/>
        </w:rPr>
        <w:instrText>HYPERLINK</w:instrText>
      </w:r>
      <w:r w:rsidRPr="00FB35F7">
        <w:rPr>
          <w:rFonts w:ascii="Times New Roman" w:hAnsi="Times New Roman" w:cs="Times"/>
          <w:sz w:val="20"/>
          <w:szCs w:val="20"/>
          <w:effect w:val="none"/>
        </w:rPr>
        <w:instrText xml:space="preserve">  \l "tdm_livre_III" </w:instrText>
      </w:r>
      <w:r w:rsidRPr="00FB35F7">
        <w:rPr>
          <w:rFonts w:ascii="Times" w:hAnsi="Times New Roman" w:cs="Times"/>
          <w:szCs w:val="20"/>
          <w:effect w:val="none"/>
        </w:rPr>
      </w:r>
      <w:r w:rsidRPr="00FB35F7">
        <w:rPr>
          <w:rFonts w:ascii="Times" w:hAnsi="Times New Roman" w:cs="Times"/>
          <w:sz w:val="20"/>
          <w:szCs w:val="20"/>
          <w:effect w:val="none"/>
        </w:rPr>
        <w:fldChar w:fldCharType="separate"/>
      </w:r>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r w:rsidRPr="00FB35F7">
        <w:rPr>
          <w:rFonts w:ascii="Times" w:hAnsi="Times New Roman" w:cs="Times"/>
          <w:sz w:val="20"/>
          <w:szCs w:val="20"/>
          <w:effect w:val="none"/>
        </w:rPr>
        <w:fldChar w:fldCharType="end"/>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 rites ressortissent à un type très différent de ceux que nous avons précédemment constitués. Ce n'est pas à dire que l'on ne puisse trouver entre les uns et les autres des ressemblances importantes que nous aurons à noter ; mais les différences sont peut-être plus apparentes. Au lieu de danses joyeuses, de chants, de représentations dramatiques qui distraient et qui détendent les esprits, ce sont des pleurs, des gémissements, en un mot, les manifestations les plus variées de la tristesse angoissée et d'une sorte de pitié mutuelle, qui tiennent toute la scène. Sans doute, il y a également, au cours de l'Intichiuma, des effusions de sang ; mais ce sont des oblations faites dans un mou</w:t>
      </w:r>
      <w:r w:rsidRPr="00FB35F7">
        <w:rPr>
          <w:rFonts w:ascii="Times" w:hAnsi="Times New Roman" w:cs="Times"/>
        </w:rPr>
        <w:softHyphen/>
      </w:r>
      <w:r w:rsidRPr="00FB35F7">
        <w:rPr>
          <w:rFonts w:ascii="Times New Roman" w:hAnsi="Times New Roman" w:cs="Times"/>
        </w:rPr>
        <w:t>ve</w:t>
      </w:r>
      <w:r w:rsidRPr="00FB35F7">
        <w:rPr>
          <w:rFonts w:ascii="Times" w:hAnsi="Times New Roman" w:cs="Times"/>
        </w:rPr>
        <w:softHyphen/>
      </w:r>
      <w:r w:rsidRPr="00FB35F7">
        <w:rPr>
          <w:rFonts w:ascii="Times" w:hAnsi="Times New Roman" w:cs="Times"/>
        </w:rPr>
        <w:softHyphen/>
      </w:r>
      <w:r w:rsidRPr="00FB35F7">
        <w:rPr>
          <w:rFonts w:ascii="Times New Roman" w:hAnsi="Times New Roman" w:cs="Times"/>
        </w:rPr>
        <w:t>ment de pieux enthousiasme. Si les gestes se ressemblent, les sentiments qu'ils expri</w:t>
      </w:r>
      <w:r w:rsidRPr="00FB35F7">
        <w:rPr>
          <w:rFonts w:ascii="Times" w:hAnsi="Times New Roman" w:cs="Times"/>
        </w:rPr>
        <w:softHyphen/>
      </w:r>
      <w:r w:rsidRPr="00FB35F7">
        <w:rPr>
          <w:rFonts w:ascii="Times New Roman" w:hAnsi="Times New Roman" w:cs="Times"/>
        </w:rPr>
        <w:t>ment sont différents et même opposés. De même, les rites ascétiques impliquent bien des priva</w:t>
      </w:r>
      <w:r w:rsidRPr="00FB35F7">
        <w:rPr>
          <w:rFonts w:ascii="Times" w:hAnsi="Times New Roman" w:cs="Times"/>
        </w:rPr>
        <w:softHyphen/>
      </w:r>
      <w:r w:rsidRPr="00FB35F7">
        <w:rPr>
          <w:rFonts w:ascii="Times New Roman" w:hAnsi="Times New Roman" w:cs="Times"/>
        </w:rPr>
        <w:t>tions, des abstinences, des mutilations, mais qui doivent être supportées avec une fermeté impassible et une sorte de sérénité. Ici, au contraire, l'abattement, les cris, les pleurs sont de règle. L'ascète se torture pour attester, à ses yeux et aux yeux de ses semblables, qu'il est au-dessus de la souffrance. Dans le deuil, on se fait du mal pour prouver que l'on souffre. On reconnaît à tous ces signes les traits caracté</w:t>
      </w:r>
      <w:r w:rsidRPr="00FB35F7">
        <w:rPr>
          <w:rFonts w:ascii="Times" w:hAnsi="Times New Roman" w:cs="Times"/>
        </w:rPr>
        <w:softHyphen/>
      </w:r>
      <w:r w:rsidRPr="00FB35F7">
        <w:rPr>
          <w:rFonts w:ascii="Times New Roman" w:hAnsi="Times New Roman" w:cs="Times"/>
        </w:rPr>
        <w:t>ristiques des rites piaculaires.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Comment donc s'expliquent-ils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 premier fait est constant : c'est que le deuil n'est pas l'expression spontanée d'émotions individuelles </w:t>
      </w:r>
      <w:r w:rsidRPr="00FB35F7">
        <w:rPr>
          <w:rStyle w:val="Rimandonotaapidipagina"/>
          <w:rFonts w:ascii="Times" w:hAnsi="Times New Roman" w:cs="Times"/>
        </w:rPr>
        <w:footnoteReference w:id="261"/>
      </w:r>
      <w:r w:rsidRPr="00FB35F7">
        <w:rPr>
          <w:rFonts w:ascii="Times New Roman" w:hAnsi="Times New Roman" w:cs="Times"/>
        </w:rPr>
        <w:t>. Si les parents pleurent, se lamentent, se meurtrissent, ce n'est pas qu'ils se sentent personnellement atteints par la mort de leur proche. Sans doute, il peut se faire, dans des cas particuliers, que le chagrin exprimé soit réellement ressenti </w:t>
      </w:r>
      <w:r w:rsidRPr="00FB35F7">
        <w:rPr>
          <w:rStyle w:val="Rimandonotaapidipagina"/>
          <w:rFonts w:ascii="Times" w:hAnsi="Times New Roman" w:cs="Times"/>
        </w:rPr>
        <w:footnoteReference w:id="262"/>
      </w:r>
      <w:r w:rsidRPr="00FB35F7">
        <w:rPr>
          <w:rFonts w:ascii="Times New Roman" w:hAnsi="Times New Roman" w:cs="Times"/>
        </w:rPr>
        <w:t>. Mais, le plus générale</w:t>
      </w:r>
      <w:r w:rsidRPr="00FB35F7">
        <w:rPr>
          <w:rFonts w:ascii="Times" w:hAnsi="Times New Roman" w:cs="Times"/>
        </w:rPr>
        <w:softHyphen/>
      </w:r>
      <w:r w:rsidRPr="00FB35F7">
        <w:rPr>
          <w:rFonts w:ascii="Times New Roman" w:hAnsi="Times New Roman" w:cs="Times"/>
        </w:rPr>
        <w:t>ment, il n'y a aucun rapport entre les sentiments éprouvés et les gestes exécutés par les acteurs du rite </w:t>
      </w:r>
      <w:r w:rsidRPr="00FB35F7">
        <w:rPr>
          <w:rStyle w:val="Rimandonotaapidipagina"/>
          <w:rFonts w:ascii="Times" w:hAnsi="Times New Roman" w:cs="Times"/>
        </w:rPr>
        <w:footnoteReference w:id="263"/>
      </w:r>
      <w:r w:rsidRPr="00FB35F7">
        <w:rPr>
          <w:rFonts w:ascii="Times New Roman" w:hAnsi="Times New Roman" w:cs="Times"/>
        </w:rPr>
        <w:t>. Si. au moment même où les pleureurs paraissent le plus accablés par la douleur, on leur adresse la parole pour les entretenir de quelque intérêt temporel, il arrive souvent qu'ils changent aussitôt de visage et de ton, prennent un air riant et causent le plus gaiement du monde </w:t>
      </w:r>
      <w:r w:rsidRPr="00FB35F7">
        <w:rPr>
          <w:rStyle w:val="Rimandonotaapidipagina"/>
          <w:rFonts w:ascii="Times" w:hAnsi="Times New Roman" w:cs="Times"/>
        </w:rPr>
        <w:footnoteReference w:id="264"/>
      </w:r>
      <w:r w:rsidRPr="00FB35F7">
        <w:rPr>
          <w:rFonts w:ascii="Times New Roman" w:hAnsi="Times New Roman" w:cs="Times"/>
        </w:rPr>
        <w:t>. Le deuil n'est pas un mouvement naturel de la sensibilité privée, froissée par une perte cruelle ; c'est un devoir imposé par le groupe. On se lamente, non pas simplement parce qu'on est triste, mais parce qu'on est tenu de se lamenter. C'est une attitude rituelle qu'on est obligé d'adopter par respect pour l'usage, mais qui est, dans une large mesure, indépendante de l'état affectif des individus. Cette obligation est, d'ailleurs, sanction</w:t>
      </w:r>
      <w:r w:rsidRPr="00FB35F7">
        <w:rPr>
          <w:rFonts w:ascii="Times" w:hAnsi="Times New Roman" w:cs="Times"/>
        </w:rPr>
        <w:softHyphen/>
      </w:r>
      <w:r w:rsidRPr="00FB35F7">
        <w:rPr>
          <w:rFonts w:ascii="Times New Roman" w:hAnsi="Times New Roman" w:cs="Times"/>
        </w:rPr>
        <w:t>née par des peines ou mythiques ou sociales. On croit, par exemple, que quand un parent ne porte pas le deuil comme il convient, l'âme du mort s'attache à ses pas et le tue </w:t>
      </w:r>
      <w:r w:rsidRPr="00FB35F7">
        <w:rPr>
          <w:rStyle w:val="Rimandonotaapidipagina"/>
          <w:rFonts w:ascii="Times" w:hAnsi="Times New Roman" w:cs="Times"/>
        </w:rPr>
        <w:footnoteReference w:id="265"/>
      </w:r>
      <w:r w:rsidRPr="00FB35F7">
        <w:rPr>
          <w:rFonts w:ascii="Times New Roman" w:hAnsi="Times New Roman" w:cs="Times"/>
        </w:rPr>
        <w:t>. Dans d'autres cas, la société ne s'en remet pas aux forces religieuses du soin de punir les négligents ; elle intervient elle-même et réprime les fautes rituelles. Si un gendre ne rend pas à son beau-père les devoirs funéraires qu'il lui doit, s'il ne se fait pas les incisions prescrites, ses beaux-pères tribaux lui reprennent sa femme et la donnent à un autre </w:t>
      </w:r>
      <w:r w:rsidRPr="00FB35F7">
        <w:rPr>
          <w:rStyle w:val="Rimandonotaapidipagina"/>
          <w:rFonts w:ascii="Times" w:hAnsi="Times New Roman" w:cs="Times"/>
        </w:rPr>
        <w:footnoteReference w:id="266"/>
      </w:r>
      <w:r w:rsidRPr="00FB35F7">
        <w:rPr>
          <w:rFonts w:ascii="Times New Roman" w:hAnsi="Times New Roman" w:cs="Times"/>
        </w:rPr>
        <w:t>. Aussi, pour se mettre en règle avec l'usage, force-t-on parfois les larmes à couler par des moyens artificiels </w:t>
      </w:r>
      <w:r w:rsidRPr="00FB35F7">
        <w:rPr>
          <w:rStyle w:val="Rimandonotaapidipagina"/>
          <w:rFonts w:ascii="Times" w:hAnsi="Times New Roman" w:cs="Times"/>
        </w:rPr>
        <w:footnoteReference w:id="267"/>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D'où vient cette obligation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Ethnographes et sociologues se sont généralement contentés de la réponse que les indigè</w:t>
      </w:r>
      <w:r w:rsidRPr="00FB35F7">
        <w:rPr>
          <w:rFonts w:ascii="Times" w:hAnsi="Times New Roman" w:cs="Times"/>
        </w:rPr>
        <w:softHyphen/>
      </w:r>
      <w:r w:rsidRPr="00FB35F7">
        <w:rPr>
          <w:rFonts w:ascii="Times New Roman" w:hAnsi="Times New Roman" w:cs="Times"/>
        </w:rPr>
        <w:t>nes eux-mêmes font à cette question. On dit que le mort veut être pleuré, qu'en lui refusant le tribut de regrets auxquels il a droit, on l'offense, et que le seul moyen de prévenir sa colère est de se conformer à ses volontés </w:t>
      </w:r>
      <w:r w:rsidRPr="00FB35F7">
        <w:rPr>
          <w:rStyle w:val="Rimandonotaapidipagina"/>
          <w:rFonts w:ascii="Times" w:hAnsi="Times New Roman" w:cs="Times"/>
        </w:rPr>
        <w:footnoteReference w:id="268"/>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cette explication mythologique ne fait que modifier les termes du problème, sans le résoudre; car encore faudrait-il savoir pourquoi le mort réclame impérativement le deuil. On dira qu'il est dans la nature de l'homme de vouloir être plaint et regretté. Mais expliquer par ce sentiment l'appareil complexe de rites qui constitue le deuil, c'est prêter à l'Australien des exigences affectives dont le civilisé lui-même ne fait pas preuve. Admettons - ce qui n'est pas évident a priori - que l'idée de n'être pas oublié trop vite soit naturellement douce à l'homme qui pense à l'avenir. Il resterait à établir qu'elle a jamais tenu assez de place dans le cœur des vivants pour qu'on ait pu raisonnablement attribuer aux morts une mentalité qui procéderait presque tout entière de cette préoccupation. Surtout, il paraît invraisemblable qu'un tel sentiment ait pu obséder et passionner à ce point des hommes qui ne sont guère habitués à penser au delà de l'heure présente. Loin que le désir de se survivre dans la mémoire de ceux qui restent en vie doive être considéré comme l'origine du deuil, on en vient bien plutôt à se demander si ce ne serait pas le deuil lui-même qui, une fois institué, aurait éveillé l'idée et le goût des regrets posthumes.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L'interprétation classique apparaît comme plus insoutenable encore quand on sait ce qui constitue le deuil primitif. Il n'est pas fait simplement de pieux regrets accordés à celui qui n'est plus, mais de dures abstinences et de cruels sacrifices. Le rite n'exige pas seulement qu'on pense mélancoliquement au défunt, mais qu'on se frappe, qu'on se meurtrisse, qu'on se lacère, qu'on se brûle. Nous avons même vu que les gens en deuil mettent à se torturer un tel emportement que, parfois, ils ne survivent pas à leurs blessures. Quelle raison le mort a-t-il de leur imposer ces supplices ? Une telle cruauté dénote de sa part autre chose que le désir de n'être pas oublié. Pour qu'il trouve du plaisir à voir souffrir les siens, il faut qu'il les haïsse, qu'il soit avide de leur sang. Cette férocité paraîtra, sans doute, naturelle à ceux pour qui tout esprit est nécessairement une puissance malfaisante et redoutée. Mais nous savons qu'il y a des esprits de toute sorte ; comment se fait-il que l'âme du mort soit nécessairement un esprit mauvais ? Tant que l'homme est en vie, il aime ses parents, il échange avec eux des services. N'est-il pas étrange que son âme, aussitôt qu'elle est libérée du corps, se dépouille instanta</w:t>
      </w:r>
      <w:r w:rsidRPr="00FB35F7">
        <w:rPr>
          <w:rFonts w:ascii="Times" w:hAnsi="Times New Roman" w:cs="Times"/>
        </w:rPr>
        <w:softHyphen/>
      </w:r>
      <w:r w:rsidRPr="00FB35F7">
        <w:rPr>
          <w:rFonts w:ascii="Times New Roman" w:hAnsi="Times New Roman" w:cs="Times"/>
        </w:rPr>
        <w:t>nément de ses sentiments anciens pour devenir un génie méchant et tourmenteur ? C'est pourtant une règle générale que le mort continue la personnalité du vivant, qu'il a le même caractère, les mêmes haines et les mêmes affections. Il s'en faut donc que la métamor</w:t>
      </w:r>
      <w:r w:rsidRPr="00FB35F7">
        <w:rPr>
          <w:rFonts w:ascii="Times" w:hAnsi="Times New Roman" w:cs="Times"/>
        </w:rPr>
        <w:softHyphen/>
      </w:r>
      <w:r w:rsidRPr="00FB35F7">
        <w:rPr>
          <w:rFonts w:ascii="Times New Roman" w:hAnsi="Times New Roman" w:cs="Times"/>
        </w:rPr>
        <w:t>phose se comprenne d'elle-même. Il est vrai que les indigènes l'admettent implicite</w:t>
      </w:r>
      <w:r w:rsidRPr="00FB35F7">
        <w:rPr>
          <w:rFonts w:ascii="Times" w:hAnsi="Times New Roman" w:cs="Times"/>
        </w:rPr>
        <w:softHyphen/>
      </w:r>
      <w:r w:rsidRPr="00FB35F7">
        <w:rPr>
          <w:rFonts w:ascii="Times New Roman" w:hAnsi="Times New Roman" w:cs="Times"/>
        </w:rPr>
        <w:t>ment, quand ils expliquent le rite par les exigences du mort; mais il s'agit précisément de savoir d'où leur est venue cette conception. Bien loin qu'elle puisse être regardée comme un truisme, elle est aussi obscure que le rite lui-même et, par suite, elle ne peut suffire à en rendre compte.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Enfin, alors même qu'on aurait trouvé les raisons de cette surprenante transformation, il resterait à expliquer pourquoi elle n'est que temporaire. Car elle ne dure pas au delà du deuil; une fois les rites accomplis, le mort redevient ce qu'il était de son vivant, un parent affectueux et dévoué. Il met au service des siens les pouvoirs nouveaux qu'il tient de sa nouvelle condition </w:t>
      </w:r>
      <w:r w:rsidRPr="00FB35F7">
        <w:rPr>
          <w:rStyle w:val="Rimandonotaapidipagina"/>
          <w:rFonts w:ascii="Times" w:hAnsi="Times New Roman" w:cs="Times"/>
        </w:rPr>
        <w:footnoteReference w:id="269"/>
      </w:r>
      <w:r w:rsidRPr="00FB35F7">
        <w:rPr>
          <w:rFonts w:ascii="Times New Roman" w:hAnsi="Times New Roman" w:cs="Times"/>
        </w:rPr>
        <w:t>. Désormais, on voit en lui un bon génie, toujours prêt à assister ceux que naguère il tourmentait. D'où peuvent venir ces revirements successifs ? Si les mauvais sentiments que l'on prête à l'âme viennent uniquement de ce qu'elle n'est plus en vie, ils devraient rester invariables et, si le deuil en dérive, il devrait être sans terme.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 explications mythiques expriment l'idée que l'indigène se fait du rite, non le rite lui-même. Nous pouvons donc les écarter pour nous mettre en face de la réalité qu'elles traduisent, niais en la défigurant. Si le deuil diffère des autres formes du culte positif, il est un côté par où il leur ressemble : lui aussi est fait de cérémonies collectives qui déterminent, chez ceux qui y participent, un état d'effervescence. Les sentiments surexcités sont différents; mais la surexcitation est la même. Il est donc présumable que l'explication des rites joyeux est susceptible de s'appliquer aux rites tristes, à condition que les termes en soient trans</w:t>
      </w:r>
      <w:r w:rsidRPr="00FB35F7">
        <w:rPr>
          <w:rFonts w:ascii="Times" w:hAnsi="Times New Roman" w:cs="Times"/>
        </w:rPr>
        <w:softHyphen/>
      </w:r>
      <w:r w:rsidRPr="00FB35F7">
        <w:rPr>
          <w:rFonts w:ascii="Times New Roman" w:hAnsi="Times New Roman" w:cs="Times"/>
        </w:rPr>
        <w:t>portés.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Quand un individu meurt, le groupe familial auquel il appartient se sent amoindri et, pour réagir contre cet amoindrissement, il s'assemble. Un commun malheur a les mêmes effets que l'approche d'un événement heureux : il avive les sentiments collectifs qui, par suite, inclinent les individus à se rechercher et à se rapprocher. Nous avons même vu ce besoin de concen</w:t>
      </w:r>
      <w:r w:rsidRPr="00FB35F7">
        <w:rPr>
          <w:rFonts w:ascii="Times" w:hAnsi="Times New Roman" w:cs="Times"/>
        </w:rPr>
        <w:softHyphen/>
      </w:r>
      <w:r w:rsidRPr="00FB35F7">
        <w:rPr>
          <w:rFonts w:ascii="Times New Roman" w:hAnsi="Times New Roman" w:cs="Times"/>
        </w:rPr>
        <w:t>tration s'affirmer parfois avec une énergie particulière : on s'embrasse, on s'enlace, on se serre le plus possible les uns contre les autres. Mais l'état affectif dans lequel se trouve alors le groupe reflète les circonstances qu'il traverse. Non seulement les proches le plus directement atteints apportent à l'assemblée leur douleur personnelle, mais la société exerce sur ses membres une pression morale pour qu'ils mettent leurs sentiments en harmonie avec la situation. Permettre qu'ils restent indifférents au coup qui la frappe et la diminue, ce serait proclamer qu'elle ne tient pas dans leurs cœurs la place à laquelle elle a droit ; ce serait la nier elle-même. Une famille qui tolère qu'un des siens puisse mourir sans être pleuré témoigne par là qu'elle manque d'unité morale et de cohésion : elle abdique ; elle renonce à être. De son côté, l'individu, quand il est fermement attaché à la société dont il fait partie, se sent morale</w:t>
      </w:r>
      <w:r w:rsidRPr="00FB35F7">
        <w:rPr>
          <w:rFonts w:ascii="Times" w:hAnsi="Times New Roman" w:cs="Times"/>
        </w:rPr>
        <w:softHyphen/>
      </w:r>
      <w:r w:rsidRPr="00FB35F7">
        <w:rPr>
          <w:rFonts w:ascii="Times New Roman" w:hAnsi="Times New Roman" w:cs="Times"/>
        </w:rPr>
        <w:t>ment tenu de participer à ses tristesses et à ses joies ; s'en désintéresser, ce serait rom</w:t>
      </w:r>
      <w:r w:rsidRPr="00FB35F7">
        <w:rPr>
          <w:rFonts w:ascii="Times" w:hAnsi="Times New Roman" w:cs="Times"/>
        </w:rPr>
        <w:softHyphen/>
      </w:r>
      <w:r w:rsidRPr="00FB35F7">
        <w:rPr>
          <w:rFonts w:ascii="Times New Roman" w:hAnsi="Times New Roman" w:cs="Times"/>
        </w:rPr>
        <w:t>pre les liens qui l'unissent à la collectivité ; ce serait renoncer à la vouloir, et se contredire. Si le chrétien, pendant les fêtes commémoratives de la Passion, si le juif, au jour anniversaire de la chute de Jérusalem, jeûnent et se mortifient, ce n'est pas pour donner cours à une tristesse spontanément éprouvée. Dans ces circonstances, l'état intérieur du croyant est hors de proportions avec les dures abstinences auxquelles il se soumet. S'il est triste, c'est, avant tout, parce qu'il s'astreint à être triste et il s'y astreint pour affirmer sa foi. L'attitude de l'Australien pendant le deuil s'explique de la même manière. S'il pleure, s'il gémit, ce n'est pas simple</w:t>
      </w:r>
      <w:r w:rsidRPr="00FB35F7">
        <w:rPr>
          <w:rFonts w:ascii="Times" w:hAnsi="Times New Roman" w:cs="Times"/>
        </w:rPr>
        <w:softHyphen/>
      </w:r>
      <w:r w:rsidRPr="00FB35F7">
        <w:rPr>
          <w:rFonts w:ascii="Times New Roman" w:hAnsi="Times New Roman" w:cs="Times"/>
        </w:rPr>
        <w:t>ment pour traduire un chagrin individuel ; c'est pour remplir un devoir au sentiment duquel la société ambiante ne manque pas de le rappeler à l'occasion.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sait d'autre part comment les sentiments humains s'intensifient quand ils s'affirment collectivement. La tristesse, comme la joie, s'exalte, s'amplifie en se répercutant de conscien</w:t>
      </w:r>
      <w:r w:rsidRPr="00FB35F7">
        <w:rPr>
          <w:rFonts w:ascii="Times" w:hAnsi="Times New Roman" w:cs="Times"/>
        </w:rPr>
        <w:softHyphen/>
      </w:r>
      <w:r w:rsidRPr="00FB35F7">
        <w:rPr>
          <w:rFonts w:ascii="Times New Roman" w:hAnsi="Times New Roman" w:cs="Times"/>
        </w:rPr>
        <w:t>ce en conscience et vient, par suite, s'exprimer au dehors sous forme de mouvements exubé</w:t>
      </w:r>
      <w:r w:rsidRPr="00FB35F7">
        <w:rPr>
          <w:rFonts w:ascii="Times" w:hAnsi="Times New Roman" w:cs="Times"/>
        </w:rPr>
        <w:softHyphen/>
      </w:r>
      <w:r w:rsidRPr="00FB35F7">
        <w:rPr>
          <w:rFonts w:ascii="Times New Roman" w:hAnsi="Times New Roman" w:cs="Times"/>
        </w:rPr>
        <w:t xml:space="preserve">rants et violents. Ce n'est plus l'agitation joyeuse que nous observions naguère ; ce sont des cris, des hurlements de douleur. Chacun est entraîné par tous ; il se produit comme une panique de tristesse. Quand la douleur en arrive à ce degré d'intensité, il s'y mêle une sorte de colère et d'exaspération. On éprouve le besoin de briser, de détruire quelque chose. On s'en prend à soi-même ou aux autres, On se frappe, on se blesse, on se brûle, ou bien on se jette sur autrui pour le frapper, le blesser et le brûler. Ainsi s'est établi l'usage de se livrer, pendant le deuil, à de véritables orgies de tortures. Il nous paraît très vraisemblable que la vendetta et la chasse aux têtes n'ont pas d'autre origine. Si tout décès est attribué à quelque sortilège magique et si, pour cette raison, on croit que le mort doit être vengé, c'est qu'on éprouve le besoin de trouver, à tout prix, une victime sur laquelle puissent se décharger la douleur et la colère collectives. Cette victime, on va naturellement la chercher au dehors ; car un étranger est un sujet </w:t>
      </w:r>
      <w:r w:rsidRPr="00FB35F7">
        <w:rPr>
          <w:rFonts w:ascii="Times New Roman" w:hAnsi="Times New Roman" w:cs="Times"/>
          <w:i/>
          <w:iCs/>
        </w:rPr>
        <w:t xml:space="preserve">minoris resistentiae ; comme </w:t>
      </w:r>
      <w:r w:rsidRPr="00FB35F7">
        <w:rPr>
          <w:rFonts w:ascii="Times New Roman" w:hAnsi="Times New Roman" w:cs="Times"/>
        </w:rPr>
        <w:t>il n'est Pas protégé par les sentiments de sympathie qui s'attachent à un parent ou à un voisin, il n'y a rien en lui qui repousse et neutralise les sentiments mauvais et destructifs que la mort a éveillés. C'est, sans doute, pour la même raison que la femme sert, plus souvent que l'homme, d'objet passif aux rites les plus cruels du deuil; parce qu'elle a une moindre valeur sociale, elle est plus directement désignée pour l'office de boue émissaire.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voit que cette explication du deuil fait complètement abstraction de la notion d'âme ou d'esprit. Les seules forces qui sont réellement en jeu sont de nature tout impersonnelle : ce sont les émotions que soulève dans le groupe la mort d'un de ses membres. Mais le primitif ignore le mécanisme psychique d'où résultent toutes ces pratiques. Quand donc il essaie de s'en rendre compte, il est obligé de s'en forger une tout autre explication. Tout ce qu'il sait, c'est qu'il est tenu de se mortifier douloureusement. Comme toute obligation éveille l'idée d'une volonté qui oblige, il cherche autour de lui d'où peut provenir la contrainte qu'il subit. Or, il est une puissance morale dont la réalité lui paraît certaine et qui semble tout indiquée pour ce rôle : c'est l'âme que la mort a mise en liberté. Car, qui peut s'intéresser plus qu'elle aux contrecoups que sa propre mort peut avoir sur les vivants ? On imagine donc que, si ces derniers s'infligent un traitement contre nature, c'est pour se conformer à ses exigences. C'est ainsi que l'idée d'âme a dû intervenir après coup dans la mythologie du deuil. D'autre part, comme on lui prête, à ce titre, des exigences inhumaines, il faut bien supposer qu'en quittant le corps qu'elle animait, elle a dépouillé tout sentiment humain. Ainsi s'explique la métamor</w:t>
      </w:r>
      <w:r w:rsidRPr="00FB35F7">
        <w:rPr>
          <w:rFonts w:ascii="Times" w:hAnsi="Times New Roman" w:cs="Times"/>
        </w:rPr>
        <w:softHyphen/>
      </w:r>
      <w:r w:rsidRPr="00FB35F7">
        <w:rPr>
          <w:rFonts w:ascii="Times New Roman" w:hAnsi="Times New Roman" w:cs="Times"/>
        </w:rPr>
        <w:t>phose qui fait du parent d'hier un ennemi redouté. Cette transformation n'est pas l'origine du deuil ; c'en est plutôt la conséquence. Elle traduit le changement qui est survenu dans l'état affectif du groupe : on ne pleure pas le mort parce qu'on le craint ; on le craint parce qu'on le pleure.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ce changement de l'état affectif ne peut être que temporaire ; car les cérémonies du deuil, en même temps qu'elles en résultent, y mettent un terme. Elles neutralisent peu à peu les causes mêmes qui leur ont donné naissance. Ce qui est à l'origine du deuil, c'est l'impression d'affaiblisse</w:t>
      </w:r>
      <w:r w:rsidRPr="00FB35F7">
        <w:rPr>
          <w:rFonts w:ascii="Times" w:hAnsi="Times New Roman" w:cs="Times"/>
        </w:rPr>
        <w:softHyphen/>
      </w:r>
      <w:r w:rsidRPr="00FB35F7">
        <w:rPr>
          <w:rFonts w:ascii="Times New Roman" w:hAnsi="Times New Roman" w:cs="Times"/>
        </w:rPr>
        <w:t>ment que ressent le groupe quand il perd un de ses membres. Mais cette impression même a pour effet de rapprocher les individus les uns des autres, de les mettre plus étroitement en rapports, de les associer dans un même état d'âme, et, de tout cela, se dégage une sensation de réconfort qui compense l'affaiblissement initial. Puisqu'on pleure en commun, c'est qu'on tient toujours les uns aux autres et que la collectivité, en dépit du coup qui l'a frappée, n'est pas entamée. Sans doute, on ne met alors en commun que des émo</w:t>
      </w:r>
      <w:r w:rsidRPr="00FB35F7">
        <w:rPr>
          <w:rFonts w:ascii="Times" w:hAnsi="Times New Roman" w:cs="Times"/>
        </w:rPr>
        <w:softHyphen/>
      </w:r>
      <w:r w:rsidRPr="00FB35F7">
        <w:rPr>
          <w:rFonts w:ascii="Times New Roman" w:hAnsi="Times New Roman" w:cs="Times"/>
        </w:rPr>
        <w:t>tions tristes ; mais commu</w:t>
      </w:r>
      <w:r w:rsidRPr="00FB35F7">
        <w:rPr>
          <w:rFonts w:ascii="Times" w:hAnsi="Times New Roman" w:cs="Times"/>
        </w:rPr>
        <w:softHyphen/>
      </w:r>
      <w:r w:rsidRPr="00FB35F7">
        <w:rPr>
          <w:rFonts w:ascii="Times New Roman" w:hAnsi="Times New Roman" w:cs="Times"/>
        </w:rPr>
        <w:t>nier dans la tristesse, c'est encore communier, et toute communion des consciences, sous quelques espèces qu'elle se fasse, rehausse la vitalité sociale. La violence exceptionnelle des manifestations par lesquelles s'exprime nécessairement et obligatoirement la douleur commu</w:t>
      </w:r>
      <w:r w:rsidRPr="00FB35F7">
        <w:rPr>
          <w:rFonts w:ascii="Times" w:hAnsi="Times New Roman" w:cs="Times"/>
        </w:rPr>
        <w:softHyphen/>
      </w:r>
      <w:r w:rsidRPr="00FB35F7">
        <w:rPr>
          <w:rFonts w:ascii="Times New Roman" w:hAnsi="Times New Roman" w:cs="Times"/>
        </w:rPr>
        <w:t>ne atteste même que la société est, à ce moment, plus vivante et plus agissante que jamais. En fait, quand le sentiment social est froissé doulou</w:t>
      </w:r>
      <w:r w:rsidRPr="00FB35F7">
        <w:rPr>
          <w:rFonts w:ascii="Times" w:hAnsi="Times New Roman" w:cs="Times"/>
        </w:rPr>
        <w:softHyphen/>
      </w:r>
      <w:r w:rsidRPr="00FB35F7">
        <w:rPr>
          <w:rFonts w:ascii="Times New Roman" w:hAnsi="Times New Roman" w:cs="Times"/>
        </w:rPr>
        <w:t>reusement, il réagit avec plus de force qu'à l'ordinaire : on ne tient jamais autant à sa famille que quand elle vient d'être éprouvée. Ce surcroît d'énergie efface d'autant plus complètement les effets du désemparément qui s'était produit à l'origine, et ainsi se dissipe la sensation de froid que la mort apporte partout avec elle. Le groupe sent que les forces lui reviennent progressivement; il se reprend à espérer et à vivre. On sort du deuil et on en sort grâce au deuil lui-même. Mais, puisque l'idée qu'on se fait de l'âme reflète l'état moral de la société, cette idée doit changer quand cet état change. Quand on était dans la période d'abattement et d'angoisse, on se représentait l'âme sous les traits d'un être malfaisant, tout occupé à persécuter les hommes. Maintenant qu'on se sent de nouveau en confiance et en sécurité, on doit admettre qu'elle a repris sa nature première et ses premiers sentiments de tendresse et de solidarité. Ainsi peut S'expliquer la manière très différente dont elle est conçue aux différents moments de son existence </w:t>
      </w:r>
      <w:r w:rsidRPr="00FB35F7">
        <w:rPr>
          <w:rStyle w:val="Rimandonotaapidipagina"/>
          <w:rFonts w:ascii="Times" w:hAnsi="Times New Roman" w:cs="Times"/>
        </w:rPr>
        <w:footnoteReference w:id="27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Non seulement les rites du deuil déterminent certains des caractères secondaires qui sont attribués à l'âme, mais ils ne sont peut-être pas étrangers à l'idée qu'elle survit au corps. Pour pouvoir comprendre les pratiques auxquelles il se soumet à la mort d'un parent, l'homme est obligé de croire qu'elles ne sont pas indifférentes au défunt. Les effusions de sang qui se pratiquent si largement pendant le deuil sont de véritables sacrifices offerts au mort </w:t>
      </w:r>
      <w:r w:rsidRPr="00FB35F7">
        <w:rPr>
          <w:rStyle w:val="Rimandonotaapidipagina"/>
          <w:rFonts w:ascii="Times" w:hAnsi="Times New Roman" w:cs="Times"/>
        </w:rPr>
        <w:footnoteReference w:id="271"/>
      </w:r>
      <w:r w:rsidRPr="00FB35F7">
        <w:rPr>
          <w:rFonts w:ascii="Times New Roman" w:hAnsi="Times New Roman" w:cs="Times"/>
        </w:rPr>
        <w:t>. C'est donc que, du mort, il survit quelque chose; et comme ce n'est pas le corps, qui, manifeste</w:t>
      </w:r>
      <w:r w:rsidRPr="00FB35F7">
        <w:rPr>
          <w:rFonts w:ascii="Times" w:hAnsi="Times New Roman" w:cs="Times"/>
        </w:rPr>
        <w:softHyphen/>
      </w:r>
      <w:r w:rsidRPr="00FB35F7">
        <w:rPr>
          <w:rFonts w:ascii="Times New Roman" w:hAnsi="Times New Roman" w:cs="Times"/>
        </w:rPr>
        <w:t>ment, est immobile et se décompose, ce ne peut être que l'âme. Sans doute, il est impossible de dire avec exactitude quelle a été la part de ces considérations dans la genèse de l'idée de survie. Mais il est vraisemblable que l'influence du culte a été ici ce qu'elle est ailleurs. Les rites sont plus aisément explicables quand on s'imagine qu'ils s'adressent à des êtres person</w:t>
      </w:r>
      <w:r w:rsidRPr="00FB35F7">
        <w:rPr>
          <w:rFonts w:ascii="Times" w:hAnsi="Times New Roman" w:cs="Times"/>
        </w:rPr>
        <w:softHyphen/>
      </w:r>
      <w:r w:rsidRPr="00FB35F7">
        <w:rPr>
          <w:rFonts w:ascii="Times New Roman" w:hAnsi="Times New Roman" w:cs="Times"/>
        </w:rPr>
        <w:t>nels ; les hommes ont donc été induits à étendre l'influence des personnalités mythiques dans la vie religieuse. Pour pouvoir rendre compte du deuil, ils ont prolongé l'existence de l'âme au delà du tombeau. C'est un nouvel exemple de la manière dont les rites réagissent sur les croyances.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i/>
          <w:iCs/>
        </w:rPr>
      </w:pPr>
    </w:p>
    <w:p w:rsidR="003F2F8E" w:rsidRPr="00FB35F7" w:rsidRDefault="003F2F8E">
      <w:pPr>
        <w:pStyle w:val="section"/>
        <w:rPr>
          <w:rFonts w:ascii="Times New Roman" w:hAnsi="Times New Roman"/>
        </w:rPr>
      </w:pPr>
      <w:bookmarkStart w:id="29" w:name="livre_3_chap_5_3"/>
      <w:r w:rsidRPr="00FB35F7">
        <w:rPr>
          <w:rFonts w:ascii="Times New Roman" w:hAnsi="Times New Roman"/>
        </w:rPr>
        <w:t>III</w:t>
      </w:r>
    </w:p>
    <w:bookmarkEnd w:id="29"/>
    <w:p w:rsidR="003F2F8E" w:rsidRPr="00FB35F7" w:rsidRDefault="003F2F8E">
      <w:pPr>
        <w:jc w:val="both"/>
        <w:rPr>
          <w:rFonts w:ascii="Times New Roman" w:hAnsi="Times New Roman" w:cs="Times"/>
          <w:i/>
          <w:iC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Mais la mort n'est pas le seul événement qui puisse troubler une communauté. Il y a, pour les hommes, bien d'autres occasions de s'attrister ou de s'angoisser, et, par conséquent, on peut prévoir que même les Australiens connaissent et pratiquent d'autres rites piaculaires que le deuil. Il est, cependant, remarquable qu'on n'en trouve, dans les récits des observateurs, qu'un petit nombre d'exemples.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 premier rite de ce genre ressemble de très près à ceux qui viennent d'être étudiés. On se rappelle comment, chez les Arunta, chaque groupe local attribue des vertus exception</w:t>
      </w:r>
      <w:r w:rsidRPr="00FB35F7">
        <w:rPr>
          <w:rFonts w:ascii="Times" w:hAnsi="Times New Roman" w:cs="Times"/>
        </w:rPr>
        <w:softHyphen/>
      </w:r>
      <w:r w:rsidRPr="00FB35F7">
        <w:rPr>
          <w:rFonts w:ascii="Times New Roman" w:hAnsi="Times New Roman" w:cs="Times"/>
        </w:rPr>
        <w:t>nel</w:t>
      </w:r>
      <w:r w:rsidRPr="00FB35F7">
        <w:rPr>
          <w:rFonts w:ascii="Times" w:hAnsi="Times New Roman" w:cs="Times"/>
        </w:rPr>
        <w:softHyphen/>
      </w:r>
      <w:r w:rsidRPr="00FB35F7">
        <w:rPr>
          <w:rFonts w:ascii="Times New Roman" w:hAnsi="Times New Roman" w:cs="Times"/>
        </w:rPr>
        <w:t>le</w:t>
      </w:r>
      <w:r w:rsidRPr="00FB35F7">
        <w:rPr>
          <w:rFonts w:ascii="Times" w:hAnsi="Times New Roman" w:cs="Times"/>
        </w:rPr>
        <w:softHyphen/>
      </w:r>
      <w:r w:rsidRPr="00FB35F7">
        <w:rPr>
          <w:rFonts w:ascii="Times New Roman" w:hAnsi="Times New Roman" w:cs="Times"/>
        </w:rPr>
        <w:t>ment importantes à sa collection de churinga : c'est un palladium collectif au sort duquel le sort même de la collectivité passe pour être lié. Aussi, quand des ennemis ou des blancs réussissent à dérober un de ces trésors religieux, cette perte est-elle considérée comme une calamité publique. Or ce malheur est l'occasion d'un rite qui a tous les caractères d'un deuil : on s'enduit le corps de terre de pipe blanche et on reste au camp pendant deux semaines à pleurer et à se lamenter </w:t>
      </w:r>
      <w:r w:rsidRPr="00FB35F7">
        <w:rPr>
          <w:rStyle w:val="Rimandonotaapidipagina"/>
          <w:rFonts w:ascii="Times" w:hAnsi="Times New Roman" w:cs="Times"/>
        </w:rPr>
        <w:footnoteReference w:id="272"/>
      </w:r>
      <w:r w:rsidRPr="00FB35F7">
        <w:rPr>
          <w:rFonts w:ascii="Times New Roman" w:hAnsi="Times New Roman" w:cs="Times"/>
        </w:rPr>
        <w:t>. C'est une preuve nouvelle que le deuil est déterminé non par la manière dont est conçue l'âme du mort, mais par des causes impersonnelles, par l'état moral du groupe. Voilà, en effet, un rite qui, par sa structure, est indistinct du deuil proprement dit et qui, pourtant, est indépendant de toute notion d'esprit ou de démon malfaisant </w:t>
      </w:r>
      <w:r w:rsidRPr="00FB35F7">
        <w:rPr>
          <w:rStyle w:val="Rimandonotaapidipagina"/>
          <w:rFonts w:ascii="Times" w:hAnsi="Times New Roman" w:cs="Times"/>
        </w:rPr>
        <w:footnoteReference w:id="27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Une autre circonstance qui donne lieu à des cérémonies de même nature est l'état de détresse où se trouve la société à la suite de récoltes insuffi</w:t>
      </w:r>
      <w:r w:rsidRPr="00FB35F7">
        <w:rPr>
          <w:rFonts w:ascii="Times" w:hAnsi="Times New Roman" w:cs="Times"/>
        </w:rPr>
        <w:softHyphen/>
      </w:r>
      <w:r w:rsidRPr="00FB35F7">
        <w:rPr>
          <w:rFonts w:ascii="Times New Roman" w:hAnsi="Times New Roman" w:cs="Times"/>
        </w:rPr>
        <w:t>san</w:t>
      </w:r>
      <w:r w:rsidRPr="00FB35F7">
        <w:rPr>
          <w:rFonts w:ascii="Times" w:hAnsi="Times New Roman" w:cs="Times"/>
        </w:rPr>
        <w:softHyphen/>
      </w:r>
      <w:r w:rsidRPr="00FB35F7">
        <w:rPr>
          <w:rFonts w:ascii="Times New Roman" w:hAnsi="Times New Roman" w:cs="Times"/>
        </w:rPr>
        <w:t>tes. « Les indigènes qui habitent les environs du lac Eyre, dit Eylmann, cherchent égale</w:t>
      </w:r>
      <w:r w:rsidRPr="00FB35F7">
        <w:rPr>
          <w:rFonts w:ascii="Times" w:hAnsi="Times New Roman" w:cs="Times"/>
        </w:rPr>
        <w:softHyphen/>
      </w:r>
      <w:r w:rsidRPr="00FB35F7">
        <w:rPr>
          <w:rFonts w:ascii="Times New Roman" w:hAnsi="Times New Roman" w:cs="Times"/>
        </w:rPr>
        <w:t>ment à conjurer l'insuffisance des ressources alimentaires au moyen de cérémonies secrètes. Mais plusieurs des pratiques rituelles qu'on observe dans cette région se distinguent de celles dont il a été précédemment question : ce n'est pas par des danses symboliques, par des mouvements mimétiques ni par des décorations éblouissantes que l'on cherche à agir sur les puissances religieuses ou sur les forces de la nature, mais au moyen de souffrances que les individus s'infligent à eux-mêmes. Dans les territoires du nord, c'est aussi par des tortures, telles que jeûnes prolongés, veilles, danses poursuivies jusqu'à l'épuisement des danseurs, douleurs physiques de toute sorte, que l'on s'efforce d'apaiser les puissances qui sont mal disposées pour les hommes » </w:t>
      </w:r>
      <w:r w:rsidRPr="00FB35F7">
        <w:rPr>
          <w:rStyle w:val="Rimandonotaapidipagina"/>
          <w:rFonts w:ascii="Times" w:hAnsi="Times New Roman" w:cs="Times"/>
        </w:rPr>
        <w:footnoteReference w:id="274"/>
      </w:r>
      <w:r w:rsidRPr="00FB35F7">
        <w:rPr>
          <w:rFonts w:ascii="Times New Roman" w:hAnsi="Times New Roman" w:cs="Times"/>
        </w:rPr>
        <w:t>. les supplices auxquels les indigènes se soumettent dans ce but les laissent parfois dans un tel état de fatigue qu'ils sont, pendant de longs jours, incapa</w:t>
      </w:r>
      <w:r w:rsidRPr="00FB35F7">
        <w:rPr>
          <w:rFonts w:ascii="Times" w:hAnsi="Times New Roman" w:cs="Times"/>
        </w:rPr>
        <w:softHyphen/>
      </w:r>
      <w:r w:rsidRPr="00FB35F7">
        <w:rPr>
          <w:rFonts w:ascii="Times New Roman" w:hAnsi="Times New Roman" w:cs="Times"/>
        </w:rPr>
        <w:t>bles d'aller à la chasse </w:t>
      </w:r>
      <w:r w:rsidRPr="00FB35F7">
        <w:rPr>
          <w:rStyle w:val="Rimandonotaapidipagina"/>
          <w:rFonts w:ascii="Times" w:hAnsi="Times New Roman" w:cs="Times"/>
        </w:rPr>
        <w:footnoteReference w:id="27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surtout pour lutter contre la sécheresse que ces pratiques sont employées. C'est que le manque d'eau a pour conséquence une disette générale. Pour remédier au mal, on recourt aux moyens violents. Un de ceux qui sont en usage est l'extraction d'une dent. Chez les Kaitïsh, par exemple, on arrache à un individu une incisive que l'on suspend à un arbre </w:t>
      </w:r>
      <w:r w:rsidRPr="00FB35F7">
        <w:rPr>
          <w:rStyle w:val="Rimandonotaapidipagina"/>
          <w:rFonts w:ascii="Times" w:hAnsi="Times New Roman" w:cs="Times"/>
        </w:rPr>
        <w:footnoteReference w:id="276"/>
      </w:r>
      <w:r w:rsidRPr="00FB35F7">
        <w:rPr>
          <w:rFonts w:ascii="Times New Roman" w:hAnsi="Times New Roman" w:cs="Times"/>
        </w:rPr>
        <w:t>. Chez les Dieri, l'idée de la pluie est étroitement associée à celle d'incisions sanglantes qui sont pratiquées dans la peau du thorax et des bras </w:t>
      </w:r>
      <w:r w:rsidRPr="00FB35F7">
        <w:rPr>
          <w:rStyle w:val="Rimandonotaapidipagina"/>
          <w:rFonts w:ascii="Times" w:hAnsi="Times New Roman" w:cs="Times"/>
        </w:rPr>
        <w:footnoteReference w:id="277"/>
      </w:r>
      <w:r w:rsidRPr="00FB35F7">
        <w:rPr>
          <w:rFonts w:ascii="Times New Roman" w:hAnsi="Times New Roman" w:cs="Times"/>
        </w:rPr>
        <w:t>. Chez ce même peuple, quand la séche</w:t>
      </w:r>
      <w:r w:rsidRPr="00FB35F7">
        <w:rPr>
          <w:rFonts w:ascii="Times" w:hAnsi="Times New Roman" w:cs="Times"/>
        </w:rPr>
        <w:softHyphen/>
      </w:r>
      <w:r w:rsidRPr="00FB35F7">
        <w:rPr>
          <w:rFonts w:ascii="Times New Roman" w:hAnsi="Times New Roman" w:cs="Times"/>
        </w:rPr>
        <w:t xml:space="preserve">resse est très grande, le grand conseil se réunit et convoque toute la tribu. C'est un véritable événement tribal. Des femmes sont envoyées dans toutes les directions pour avertir les gens de se réunir à un endroit et à un moment déterminés. Une fois qu'ils sont assemblés, ils font entendre des gémissements, ils crient d'une voix perçante l'état misérable de la contrée et ils demandent aux </w:t>
      </w:r>
      <w:r w:rsidRPr="00FB35F7">
        <w:rPr>
          <w:rFonts w:ascii="Times New Roman" w:hAnsi="Times New Roman" w:cs="Times"/>
          <w:i/>
          <w:iCs/>
        </w:rPr>
        <w:t xml:space="preserve">Mura-mura </w:t>
      </w:r>
      <w:r w:rsidRPr="00FB35F7">
        <w:rPr>
          <w:rFonts w:ascii="Times New Roman" w:hAnsi="Times New Roman" w:cs="Times"/>
        </w:rPr>
        <w:t>(ancêtres mythiques) de leur conférer le pouvoir de faire tomber une pluie abondante </w:t>
      </w:r>
      <w:r w:rsidRPr="00FB35F7">
        <w:rPr>
          <w:rStyle w:val="Rimandonotaapidipagina"/>
          <w:rFonts w:ascii="Times" w:hAnsi="Times New Roman" w:cs="Times"/>
        </w:rPr>
        <w:footnoteReference w:id="278"/>
      </w:r>
      <w:r w:rsidRPr="00FB35F7">
        <w:rPr>
          <w:rFonts w:ascii="Times New Roman" w:hAnsi="Times New Roman" w:cs="Times"/>
        </w:rPr>
        <w:t>. Dans les cas, très rares d'ailleurs, où il y a eu excès d'humidité, une cérémonie analogue a lieu pour arrêter la pluie. Les vieillards entrent alors dans un véritable état de frénésie </w:t>
      </w:r>
      <w:r w:rsidRPr="00FB35F7">
        <w:rPr>
          <w:rStyle w:val="Rimandonotaapidipagina"/>
          <w:rFonts w:ascii="Times" w:hAnsi="Times New Roman" w:cs="Times"/>
        </w:rPr>
        <w:footnoteReference w:id="279"/>
      </w:r>
      <w:r w:rsidRPr="00FB35F7">
        <w:rPr>
          <w:rFonts w:ascii="Times New Roman" w:hAnsi="Times New Roman" w:cs="Times"/>
        </w:rPr>
        <w:t xml:space="preserve"> et les cris que pousse la foule sont pénibles à entendre </w:t>
      </w:r>
      <w:r w:rsidRPr="00FB35F7">
        <w:rPr>
          <w:rStyle w:val="Rimandonotaapidipagina"/>
          <w:rFonts w:ascii="Times" w:hAnsi="Times New Roman" w:cs="Times"/>
        </w:rPr>
        <w:footnoteReference w:id="28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Spencer et GILLEN nous décrivent, sous le nom d'Intichiuma, une cérémonie qui pour</w:t>
      </w:r>
      <w:r w:rsidRPr="00FB35F7">
        <w:rPr>
          <w:rFonts w:ascii="Times" w:hAnsi="Times New Roman" w:cs="Times"/>
        </w:rPr>
        <w:softHyphen/>
      </w:r>
      <w:r w:rsidRPr="00FB35F7">
        <w:rPr>
          <w:rFonts w:ascii="Times New Roman" w:hAnsi="Times New Roman" w:cs="Times"/>
        </w:rPr>
        <w:t>rait bien avoir le même objet et la même origine que les précédentes : une torture physi</w:t>
      </w:r>
      <w:r w:rsidRPr="00FB35F7">
        <w:rPr>
          <w:rFonts w:ascii="Times" w:hAnsi="Times New Roman" w:cs="Times"/>
        </w:rPr>
        <w:softHyphen/>
      </w:r>
      <w:r w:rsidRPr="00FB35F7">
        <w:rPr>
          <w:rFonts w:ascii="Times New Roman" w:hAnsi="Times New Roman" w:cs="Times"/>
        </w:rPr>
        <w:t xml:space="preserve">que est employée pour déterminer une espèce animale à se multiplier. Il y a, chez les Urabanna, un clan qui a pour totem une sorte de serpent appelé </w:t>
      </w:r>
      <w:r w:rsidRPr="00FB35F7">
        <w:rPr>
          <w:rFonts w:ascii="Times New Roman" w:hAnsi="Times New Roman" w:cs="Times"/>
          <w:i/>
          <w:iCs/>
        </w:rPr>
        <w:t xml:space="preserve">wadnungadni. </w:t>
      </w:r>
      <w:r w:rsidRPr="00FB35F7">
        <w:rPr>
          <w:rFonts w:ascii="Times New Roman" w:hAnsi="Times New Roman" w:cs="Times"/>
        </w:rPr>
        <w:t>Voici comment procède le chef du clan pour empêcher que cet animal ne vienne à manquer. Après s'être décoré, il s'agenouille par terre, les bras étendus dans toute leur longueur. Un assistant pince entre ses doigts la peau du bras droit et l'opérateur enfonce, à travers le pli ainsi formé, un os pointu, de cinq pouces de long. On traite de même le bras gauche. Cette auto-mutilation est censée produire le résultat désiré </w:t>
      </w:r>
      <w:r w:rsidRPr="00FB35F7">
        <w:rPr>
          <w:rStyle w:val="Rimandonotaapidipagina"/>
          <w:rFonts w:ascii="Times" w:hAnsi="Times New Roman" w:cs="Times"/>
        </w:rPr>
        <w:footnoteReference w:id="281"/>
      </w:r>
      <w:r w:rsidRPr="00FB35F7">
        <w:rPr>
          <w:rFonts w:ascii="Times New Roman" w:hAnsi="Times New Roman" w:cs="Times"/>
        </w:rPr>
        <w:t>. Chez les Dieri, un rite analogue est employé pour déterminer les poules sauvages à poudre : les opérateurs se percent le scrotum </w:t>
      </w:r>
      <w:r w:rsidRPr="00FB35F7">
        <w:rPr>
          <w:rStyle w:val="Rimandonotaapidipagina"/>
          <w:rFonts w:ascii="Times" w:hAnsi="Times New Roman" w:cs="Times"/>
        </w:rPr>
        <w:footnoteReference w:id="282"/>
      </w:r>
      <w:r w:rsidRPr="00FB35F7">
        <w:rPr>
          <w:rFonts w:ascii="Times New Roman" w:hAnsi="Times New Roman" w:cs="Times"/>
        </w:rPr>
        <w:t>. Dans certaines autres tribus du lac Eyre, on se perce l'oreille pour amener les ignames à se produire </w:t>
      </w:r>
      <w:r w:rsidRPr="00FB35F7">
        <w:rPr>
          <w:rStyle w:val="Rimandonotaapidipagina"/>
          <w:rFonts w:ascii="Times" w:hAnsi="Times New Roman" w:cs="Times"/>
        </w:rPr>
        <w:footnoteReference w:id="28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les disettes totales et partielles ne sont pas les seuls fléaux qui puissent s'abattre sur une tribu. D'autres événements se produisent, plus ou moins périodiquement, qui menacent on paraissent menacer l'existence collective. C'est le cas, par exemple, de l'aurore australe. Les Kurnai croient que c'est un feu allumé dans le ciel par le grand dieu Mungan-ngaua; c'est pourquoi, quand ils l'aperçoivent, ils ont peur que l'incendie ne s'étende à la terre et ne les dévore. Il en résulte une grande effervescence dans le camp. On agite une main desséchée de mort à laquelle les Kurnai attribuent des vertus variées, et on pousse des cris tels que : « Renvoie-le ; ne nous laisse pas brûler ». En même temps, ont lieu, sur l'ordre des vieillards, des échanges de femmes, ce qui est toujours l'indice d'une grande excitation </w:t>
      </w:r>
      <w:r w:rsidRPr="00FB35F7">
        <w:rPr>
          <w:rStyle w:val="Rimandonotaapidipagina"/>
          <w:rFonts w:ascii="Times" w:hAnsi="Times New Roman" w:cs="Times"/>
        </w:rPr>
        <w:footnoteReference w:id="284"/>
      </w:r>
      <w:r w:rsidRPr="00FB35F7">
        <w:rPr>
          <w:rFonts w:ascii="Times New Roman" w:hAnsi="Times New Roman" w:cs="Times"/>
        </w:rPr>
        <w:t>. Les mêmes licences sexuelles sont signalées chez les Wiimbaio, toutes les fois qu'un fléau paraît imminent, et notamment en temps d'épidémie </w:t>
      </w:r>
      <w:r w:rsidRPr="00FB35F7">
        <w:rPr>
          <w:rStyle w:val="Rimandonotaapidipagina"/>
          <w:rFonts w:ascii="Times" w:hAnsi="Times New Roman" w:cs="Times"/>
        </w:rPr>
        <w:footnoteReference w:id="285"/>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Sous l'influence de ces idées, les mutilations ou effusions de sang sont parfois considé</w:t>
      </w:r>
      <w:r w:rsidRPr="00FB35F7">
        <w:rPr>
          <w:rFonts w:ascii="Times" w:hAnsi="Times New Roman" w:cs="Times"/>
        </w:rPr>
        <w:softHyphen/>
      </w:r>
      <w:r w:rsidRPr="00FB35F7">
        <w:rPr>
          <w:rFonts w:ascii="Times New Roman" w:hAnsi="Times New Roman" w:cs="Times"/>
        </w:rPr>
        <w:t>rées comme un moyen efficace pour guérir les maladies. Chez les Dieri, quand il arrive un accident à un enfant, ses proches se donnent des coups sur la tête soit avec un bâton soit avec un boomerang, jusqu'à ce que le sang coule sur leur visage. On croit, par ce procédé, soulager l'enfant de son mal </w:t>
      </w:r>
      <w:r w:rsidRPr="00FB35F7">
        <w:rPr>
          <w:rStyle w:val="Rimandonotaapidipagina"/>
          <w:rFonts w:ascii="Times" w:hAnsi="Times New Roman" w:cs="Times"/>
        </w:rPr>
        <w:footnoteReference w:id="286"/>
      </w:r>
      <w:r w:rsidRPr="00FB35F7">
        <w:rPr>
          <w:rFonts w:ascii="Times New Roman" w:hAnsi="Times New Roman" w:cs="Times"/>
        </w:rPr>
        <w:t>. Ailleurs, on s'imagine obtenir le même résultat au moyen d'une cérémonie totémique supplémentaire </w:t>
      </w:r>
      <w:r w:rsidRPr="00FB35F7">
        <w:rPr>
          <w:rStyle w:val="Rimandonotaapidipagina"/>
          <w:rFonts w:ascii="Times" w:hAnsi="Times New Roman" w:cs="Times"/>
        </w:rPr>
        <w:footnoteReference w:id="287"/>
      </w:r>
      <w:r w:rsidRPr="00FB35F7">
        <w:rPr>
          <w:rFonts w:ascii="Times New Roman" w:hAnsi="Times New Roman" w:cs="Times"/>
        </w:rPr>
        <w:t>. On peut rapprocher de ces faits l'exemple, cité plus haut, d'une cérémonie spécialement célébrée pour effacer les effets d'une faute rituelle </w:t>
      </w:r>
      <w:r w:rsidRPr="00FB35F7">
        <w:rPr>
          <w:rStyle w:val="Rimandonotaapidipagina"/>
          <w:rFonts w:ascii="Times" w:hAnsi="Times New Roman" w:cs="Times"/>
        </w:rPr>
        <w:footnoteReference w:id="288"/>
      </w:r>
      <w:r w:rsidRPr="00FB35F7">
        <w:rPr>
          <w:rFonts w:ascii="Times New Roman" w:hAnsi="Times New Roman" w:cs="Times"/>
        </w:rPr>
        <w:t>. Sans doute, dans ces deux derniers cas, il n'y a ni blessures, ni coups, ni souffrances physiques d'aucune sorte ; cependant, le rite ne diffère pas en nature des précédents : il s'agit toujours de détourner un mal ou d'expier une faute au moyen d'une prestation rituelle extraordinaire.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Tels sont, en dehors du deuil, les seuls cas de rites piaculaires que nous ayons réussi à relever en Australie. Il est probable, il est vrai, que certains ont dû nous échapper et on peut présumer également que d'autres sont restés inaperçus des observateurs. Cependant, si les seuls que l'on ait découverts jusqu'à présent sont en petit nombre, c'est vraisemblablement qu'ils ne tiennent pas une grande place dans le culte. On voit combien il s'en faut que les religions primitives soient filles de l'angoisse et de la crainte, puisque les rites qui traduisent des émotions douloureuses y sont relativement rares. C'est, sans doute, que, si l'Australien mène une existence misérable, comparée à celle des peuples plus civilisés, en revanche, il demande si peu de choses à la vie qu'il se contente à peu de frais. Tout ce qu'il lui faut, c'est que la nature suive son cours normal, que les saisons se succèdent régulièrement, que la pluie tombe, à l'époque ordinaire, en abondance et sans excès ; or les grandes perturbations dans l'ordre cosmique sont toujours exceptionnelles. Aussi a-t-on pu remarquer que la plupart des rites piaculaires réguliers dont nous avons plus haut rapporté des exemples ont été observés dans les tribus du centre où les sécheresses sont fréquentes et constituent de véritables désas</w:t>
      </w:r>
      <w:r w:rsidRPr="00FB35F7">
        <w:rPr>
          <w:rFonts w:ascii="Times" w:hAnsi="Times New Roman" w:cs="Times"/>
        </w:rPr>
        <w:softHyphen/>
      </w:r>
      <w:r w:rsidRPr="00FB35F7">
        <w:rPr>
          <w:rFonts w:ascii="Times New Roman" w:hAnsi="Times New Roman" w:cs="Times"/>
        </w:rPr>
        <w:t>tres. Il reste, il est vrai, surprenant que les rites piaculaires qui sont spécialement destinés à expier le péché semblent faire presque complètement défaut. Cependant l'Australien, comme tout homme, doit commettre des fautes rituelles qu'il a intérêt à racheter ; on peut donc se demander si le silence des textes sur ce point n'est pas imputable aux insuffisances de l'observation.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peu nombreux que soient les faits qu'il nous a été possible de recueillir, ils ne laissent pas d'être instructifs.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Quand on étudie les rites piaculaires dans les religions plus avancées, où les forces religieuses sont individualisées, ils paraissent être étroitement solidaires de conceptions anthropomorphiques. Si le fidèle s'impose des privations, se soumet à des sévices, c'est pour désarmer la malveillance qu'il prête à certains des êtres sacrés dont il croit dépendre. Pour apaiser leur haine ou leur colère, il va au-devant de leurs exigences ; il se frappe lui-même pour n'être pas frappé par eux. Il semble donc que ces pratiques n'ont pu prendre naissance qu'à partir du moment où dieux et esprits furent conçus comme des personnes morales, capables de passions analogues à celles des humains. C'est pour cette raison que Robertson Smith crut pouvoir reporter à une date relativement récente les sacrifices expiatoires, tout comme les oblations sacrificielles. Suivant lui, les effusions de sang qui caractérisent ces rites auraient été d'abord de simples procédés de communion : l'homme aurait répandu son sang sur l'autel pour resserrer les liens qui l'unissaient à son dieu. Le rite n'aurait pris un caractère piaculaire et pénal que quand sa signification première fut oubliée et quand l'idée nouvelle qu'on se faisait des êtres sacrés permit de lui attribuer une autre fonction </w:t>
      </w:r>
      <w:r w:rsidRPr="00FB35F7">
        <w:rPr>
          <w:rStyle w:val="Rimandonotaapidipagina"/>
          <w:rFonts w:ascii="Times" w:hAnsi="Times New Roman" w:cs="Times"/>
        </w:rPr>
        <w:footnoteReference w:id="289"/>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puisque l'on rencontre des rites piaculaires dès les sociétés australiennes, il est impossible de leur assigner une origine aussi tardive. D'ailleurs, tous ceux que nous venons d'observer, sauf un </w:t>
      </w:r>
      <w:r w:rsidRPr="00FB35F7">
        <w:rPr>
          <w:rStyle w:val="Rimandonotaapidipagina"/>
          <w:rFonts w:ascii="Times" w:hAnsi="Times New Roman" w:cs="Times"/>
        </w:rPr>
        <w:footnoteReference w:id="290"/>
      </w:r>
      <w:r w:rsidRPr="00FB35F7">
        <w:rPr>
          <w:rFonts w:ascii="Times New Roman" w:hAnsi="Times New Roman" w:cs="Times"/>
        </w:rPr>
        <w:t>, sont indépendants de toute conception anthropomorphique : il n'y est ques</w:t>
      </w:r>
      <w:r w:rsidRPr="00FB35F7">
        <w:rPr>
          <w:rFonts w:ascii="Times" w:hAnsi="Times New Roman" w:cs="Times"/>
        </w:rPr>
        <w:softHyphen/>
      </w:r>
      <w:r w:rsidRPr="00FB35F7">
        <w:rPr>
          <w:rFonts w:ascii="Times New Roman" w:hAnsi="Times New Roman" w:cs="Times"/>
        </w:rPr>
        <w:t>tion ni de dieux ni d'esprits. C'est par elles-mêmes et directement que les abstinences et les effusions de sang arrêtent les disettes et guérissent les maladies. Entre le rite et les effets qu'il est censé produire aucun être spirituel ne vient insérer son action. Les personnalités mythiques n'y sont donc intervenues qu'ultérieurement. Une fois que le mécanisme rituel fut établi, elles ont servi à le rendre plus commodément représentable aux intelligences ; mais elles ne sont pas conditions de son existence. C'est pour d'autres raisons qu'il s'est institué ; c'est à une autre cause qu'il doit son efficacité.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agit par les forces collectives qu'il met en jeu. Un malheur paraît-il imminent qui menace la collectivité ? Celle-ci se réunit, comme à la suite d'un deuil, et c'est naturellement une impression d'inquiétude et d'angoisse qui domine le groupe assemblé. La mise en commun de ces sentiments a, comme toujours, pour effet de les intensifier. En s'affirmant, ils s'exaltent, s'enfièvrent, atteignent un degré de violence qui se traduit par la violence correspondante des gestes qui les expriment. Comme à la mort d'un proche, on pousse des cris terribles, on s'emporte, on sent le besoin de déchirer et de détruire ; c'est pour satisfaire ce besoin qu'on se frappe, qu'on se blesse, qu'on fait couler le sang. Mais quand des émotions ont cette vivacité, elles ont beau être douloureuses, elles n'ont rien de déprimant; elles dénotent, au contraire, un état d'effervescence qui implique une mobilisation de toutes nos forces actives et même un afflux d'énergies extérieures. Peu importe que cette exaltation ait été provoquée par un événement triste, elle ne laisse pas d'être réelle et elle ne diffère pas spécifiquement de celle qu'on observe dans les fêtes joyeuses. Parfois même, elle se manifeste par des mouvements de même nature : c'est la même frénésie qui saisit les fidèles, c'est le même penchant aux débauches sexuelles, signe certain d'une grande surexcitation ner</w:t>
      </w:r>
      <w:r w:rsidRPr="00FB35F7">
        <w:rPr>
          <w:rFonts w:ascii="Times" w:hAnsi="Times New Roman" w:cs="Times"/>
        </w:rPr>
        <w:softHyphen/>
      </w:r>
      <w:r w:rsidRPr="00FB35F7">
        <w:rPr>
          <w:rFonts w:ascii="Times New Roman" w:hAnsi="Times New Roman" w:cs="Times"/>
        </w:rPr>
        <w:t>veuse. Déjà Robertson Smith avait remarqué cette curieuse influence des rites tristes dans les cultes sémitiques : « Dans les temps difficiles, dit-il, alors que les pensées des hommes étaient habituellement sombres, ils recouraient aux excitations physiques de la religion, comme, maintenant, ils se réfugient dans le vin. En règle générale, quand, chez les Sémites, le culte commençait par des pleurs et des lamentations - comme dans le deuil d'Adonis ou comme dans les grands rites expiatoires qui devinrent fréquents pendant les derniers temps - une brusque révolution faisait succéder, au service funèbre par lequel s'était ouverte la cérémonie, une explosion de gaîté et de réjouissances </w:t>
      </w:r>
      <w:r w:rsidRPr="00FB35F7">
        <w:rPr>
          <w:rStyle w:val="Rimandonotaapidipagina"/>
          <w:rFonts w:ascii="Times" w:hAnsi="Times New Roman" w:cs="Times"/>
        </w:rPr>
        <w:footnoteReference w:id="291"/>
      </w:r>
      <w:r w:rsidRPr="00FB35F7">
        <w:rPr>
          <w:rFonts w:ascii="Times New Roman" w:hAnsi="Times New Roman" w:cs="Times"/>
        </w:rPr>
        <w:t xml:space="preserve"> ». En un mot, alors même que les cérémonies religieuses ont pour point de départ un fait inquiétant on attristant, elles gardent, sur l'état affectif du groupe et des individus, leur pouvoir stimulant. Par cela seul qu'elles sont collectives, elles élèvent le ton vital. Or, quand on sent en soi de la vie - que ce soit sous forme d'irritation pénible ou de joyeux enthousiasme - on ne croit pas à la mort ; on se rassu</w:t>
      </w:r>
      <w:r w:rsidRPr="00FB35F7">
        <w:rPr>
          <w:rFonts w:ascii="Times" w:hAnsi="Times New Roman" w:cs="Times"/>
        </w:rPr>
        <w:softHyphen/>
      </w:r>
      <w:r w:rsidRPr="00FB35F7">
        <w:rPr>
          <w:rFonts w:ascii="Times New Roman" w:hAnsi="Times New Roman" w:cs="Times"/>
        </w:rPr>
        <w:t>re donc, on reprend courage et, subjectivement, tout se passe comme si le rite avait réelle</w:t>
      </w:r>
      <w:r w:rsidRPr="00FB35F7">
        <w:rPr>
          <w:rFonts w:ascii="Times" w:hAnsi="Times New Roman" w:cs="Times"/>
        </w:rPr>
        <w:softHyphen/>
      </w:r>
      <w:r w:rsidRPr="00FB35F7">
        <w:rPr>
          <w:rFonts w:ascii="Times New Roman" w:hAnsi="Times New Roman" w:cs="Times"/>
        </w:rPr>
        <w:t>ment écarté le danger que l'on redoutait. Voilà comment on attribue aux mouvements dont il est fait, aux cris poussés, au sang versé, aux blessures qu'on s'inflige ou qu'on inflige à d'autres, des vertus curatives ou préventives ; et, comme ces différents sévices font nécessai</w:t>
      </w:r>
      <w:r w:rsidRPr="00FB35F7">
        <w:rPr>
          <w:rFonts w:ascii="Times" w:hAnsi="Times New Roman" w:cs="Times"/>
        </w:rPr>
        <w:softHyphen/>
      </w:r>
      <w:r w:rsidRPr="00FB35F7">
        <w:rPr>
          <w:rFonts w:ascii="Times New Roman" w:hAnsi="Times New Roman" w:cs="Times"/>
        </w:rPr>
        <w:t>rement souffrir, la souffrance, par elle-même, finit par être considérée comme un moyen de conjurer le mal, de guérir la maladie </w:t>
      </w:r>
      <w:r w:rsidRPr="00FB35F7">
        <w:rPr>
          <w:rStyle w:val="Rimandonotaapidipagina"/>
          <w:rFonts w:ascii="Times" w:hAnsi="Times New Roman" w:cs="Times"/>
        </w:rPr>
        <w:footnoteReference w:id="292"/>
      </w:r>
      <w:r w:rsidRPr="00FB35F7">
        <w:rPr>
          <w:rFonts w:ascii="Times New Roman" w:hAnsi="Times New Roman" w:cs="Times"/>
        </w:rPr>
        <w:t>. Plus tard, quand la plupart des forces religieuses eurent pris la forme de personnalités morales, on expliqua l'efficacité de ces pratiques en imaginant qu'elles avaient pour objet d'apaiser un dieu malfaisant ou irrité. Mais ces conceptions ne font que refléter le rite et les sentiments qu'il suscite ; elles en sont une interprétation, et non la cause déterminante.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 manquement rituel n'agit pas d'une autre manière. Lui aussi est une menace pour la collectivité ; il l'atteint dans son existence morale, puisqu'il l'atteint dans ses croyances. Mais que la colère qu'il détermine s'affirme ostensiblement et avec énergie, et elle compense le mal qui l'a causée. Car si elle est vivement ressentie par tous, c'est que l'infraction commise est une exception et que la foi commune reste entière. L'unité morale du groupe n'est donc pas en danger. Or la peine infligée à titre d'expiation n'est que la manifestation de cette colère publique, la preuve matérielle de son unanimité. Elle a donc réellement l'effet réparateur qu'on lui attribue. Au fond, le sentiment qui est à la racine des rites proprement expiatoires ne diffère pas en nature de celui que nous avons trouvé à la base des autres rites piaculaires : c'est une sorte de douleur irritée qui tend à se manifester par des actes de destruction. Tantôt elle se soulage au détriment de celui-là même qui l'éprouve; tantôt, c'est aux dépens d'un tiers étranger. Mais dans les deux cas, le mécanisme psychique est essentiellement le même </w:t>
      </w:r>
      <w:r w:rsidRPr="00FB35F7">
        <w:rPr>
          <w:rStyle w:val="Rimandonotaapidipagina"/>
          <w:rFonts w:ascii="Times" w:hAnsi="Times New Roman" w:cs="Times"/>
        </w:rPr>
        <w:footnoteReference w:id="29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30" w:name="livre_3_chap_5_4"/>
      <w:r w:rsidRPr="00FB35F7">
        <w:rPr>
          <w:rFonts w:ascii="Times New Roman" w:hAnsi="Times New Roman"/>
        </w:rPr>
        <w:t>IV</w:t>
      </w:r>
    </w:p>
    <w:bookmarkEnd w:id="30"/>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 des plus grands services que Robertson Smith ait rendus à la science des religions est d'avoir mis en lumière l'ambiguïté de la notion du sacré.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forces religieuses sont de deux sortes. Les unes sont bienfaisantes, gardiennes de l'ordre physique et moral, dispensatrices de la vie, de la santé, de toutes les qualités que les hommes estiment : c'est le cas du principe totémique, épars dans toute l'espèce, de l'ancêtre mythique, de l'animal-protecteur, des héros civilisateurs, des dieux tutélaires de toute espèce et de tout degré. Peu importe qu'elles soient conçues comme des personnalités distinctes ou comme des énergies diffuses; sous l'une et sous l'autre forme, elles jouent le même rôle et affectent de la même manière la conscience des fidèles : le respect qu'elles inspirent est mêlé d'amour et de reconnaissance. les choses et les personnes qui sont normalement en rapports avec elles participent des mêmes sentiments et du même caractère : ce sont les choses et les personnes saintes. Tels sont les lieux consacrés au culte, les objets qui servent dans les rites réguliers, les prêtres, les ascètes, etc. - Il y a, d'autre part, les puissances mauvaises et impures, productrices de désordres, causes de mort, de maladies, instigatrices de sacrilèges. Les seuls sentiments que l'homme ait pour elles sont une crainte où il entre généralement de l'horreur. Telles sont les forces sur lesquelles et par lesquelles agit le sorcier, celles qui se dégagent des cadavres, du sang des menstrues, celles que déchaîne toute profanation des choses saintes, etc. Les esprits des morts, les génies malins de toute sorte en sont des formes personnifiées.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Entre ces deux catégories de forces et d'êtres, le contraste est aussi complet que possible et va même jusqu'à l'antagonisme le plus radical. Les puissances bonnes et salutaires repous</w:t>
      </w:r>
      <w:r w:rsidRPr="00FB35F7">
        <w:rPr>
          <w:rFonts w:ascii="Times" w:hAnsi="Times New Roman" w:cs="Times"/>
        </w:rPr>
        <w:softHyphen/>
      </w:r>
      <w:r w:rsidRPr="00FB35F7">
        <w:rPr>
          <w:rFonts w:ascii="Times New Roman" w:hAnsi="Times New Roman" w:cs="Times"/>
        </w:rPr>
        <w:t>sent loin d'elles les autres qui les nient et les contredisent. Aussi les premières sont-elles interdites aux secondes : tout contact entre elles est considéré comme la pire des profana</w:t>
      </w:r>
      <w:r w:rsidRPr="00FB35F7">
        <w:rPr>
          <w:rFonts w:ascii="Times" w:hAnsi="Times New Roman" w:cs="Times"/>
        </w:rPr>
        <w:softHyphen/>
      </w:r>
      <w:r w:rsidRPr="00FB35F7">
        <w:rPr>
          <w:rFonts w:ascii="Times New Roman" w:hAnsi="Times New Roman" w:cs="Times"/>
        </w:rPr>
        <w:t>tions. C'est le type, par excellence, de ces interdits entre choses sacrées d'espèces différentes dont nous avons, chemin faisant, signalé l'existence </w:t>
      </w:r>
      <w:r w:rsidRPr="00FB35F7">
        <w:rPr>
          <w:rStyle w:val="Rimandonotaapidipagina"/>
          <w:rFonts w:ascii="Times" w:hAnsi="Times New Roman" w:cs="Times"/>
        </w:rPr>
        <w:footnoteReference w:id="294"/>
      </w:r>
      <w:r w:rsidRPr="00FB35F7">
        <w:rPr>
          <w:rFonts w:ascii="Times New Roman" w:hAnsi="Times New Roman" w:cs="Times"/>
        </w:rPr>
        <w:t>. Les femmes pendant la menstruation, et surtout à la première apparition des menstrues, sont impures ; aussi sont-elles, à ce mo</w:t>
      </w:r>
      <w:r w:rsidRPr="00FB35F7">
        <w:rPr>
          <w:rFonts w:ascii="Times" w:hAnsi="Times New Roman" w:cs="Times"/>
        </w:rPr>
        <w:softHyphen/>
      </w:r>
      <w:r w:rsidRPr="00FB35F7">
        <w:rPr>
          <w:rFonts w:ascii="Times New Roman" w:hAnsi="Times New Roman" w:cs="Times"/>
        </w:rPr>
        <w:t>ment, rigoureusement séquestrées; les hommes ne doivent avoir avec elles aucun rapport </w:t>
      </w:r>
      <w:r w:rsidRPr="00FB35F7">
        <w:rPr>
          <w:rStyle w:val="Rimandonotaapidipagina"/>
          <w:rFonts w:ascii="Times" w:hAnsi="Times New Roman" w:cs="Times"/>
        </w:rPr>
        <w:footnoteReference w:id="295"/>
      </w:r>
      <w:r w:rsidRPr="00FB35F7">
        <w:rPr>
          <w:rFonts w:ascii="Times New Roman" w:hAnsi="Times New Roman" w:cs="Times"/>
        </w:rPr>
        <w:t xml:space="preserve">. Les </w:t>
      </w:r>
      <w:r w:rsidRPr="00FB35F7">
        <w:rPr>
          <w:rFonts w:ascii="Times New Roman" w:hAnsi="Times New Roman" w:cs="Times"/>
          <w:i/>
          <w:iCs/>
        </w:rPr>
        <w:t xml:space="preserve">bull-roarers, </w:t>
      </w:r>
      <w:r w:rsidRPr="00FB35F7">
        <w:rPr>
          <w:rFonts w:ascii="Times New Roman" w:hAnsi="Times New Roman" w:cs="Times"/>
        </w:rPr>
        <w:t>les churinga ne sont jamais en contact avec le mort </w:t>
      </w:r>
      <w:r w:rsidRPr="00FB35F7">
        <w:rPr>
          <w:rStyle w:val="Rimandonotaapidipagina"/>
          <w:rFonts w:ascii="Times" w:hAnsi="Times New Roman" w:cs="Times"/>
        </w:rPr>
        <w:footnoteReference w:id="296"/>
      </w:r>
      <w:r w:rsidRPr="00FB35F7">
        <w:rPr>
          <w:rFonts w:ascii="Times New Roman" w:hAnsi="Times New Roman" w:cs="Times"/>
        </w:rPr>
        <w:t>. Le sacrilège est exclu de la société des fidèles ; l'accès du culte lui est interdit. Ainsi toute vie religieuse gravite autour de deux pôles contraires entre lesquels il y a la même opposition qu'entre le pur et l'impur, le saint et le sacrilège, le divin et le diabolique.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en même temps que ces deux aspects de la vie religieuse s'opposent l'un à l'autre, il existe entre eux une étroite parenté. D'abord, ils soutiennent tous deux le même rapport avec les êtres profanes : ceux-ci doivent s'abstenir de tout rapport avec les choses impures comme avec les choses très saintes. Les premières ne sont pas moins interdites que les secondes ; elles sont également retirées de la circulation. C'est dire qu'elles aussi sont sacrées. Sans doute, les sentiments qu'inspirent les unes et les autres ne sont pas identiques : autre chose est le respect, autre chose le dégoût et l'horreur. Cependant, pour que les gestes soient les mêmes dans les deux cas, il faut que les sentiments exprimés ne diffèrent pas en nature. Et en effet, il y a de l'horreur dans le respect religieux, surtout quand il est très intense, et la crainte qu'inspirent les puissances malignes n'est généralement pas sans avoir quelque caractère révérentiel. Les nuances par lesquelles se différencient ces deux attitudes sont même parfois si fugitives qu'il n'est pas toujours facile de dire dans quel état d'esprit se trouvent, au juste, les fidèles. Chez certains peuples sémitiques, la viande de porc était interdite ; mais on ne savait pas toujours avec précision si c'était à titre de chose impure ou bien de chose sainte </w:t>
      </w:r>
      <w:r w:rsidRPr="00FB35F7">
        <w:rPr>
          <w:rStyle w:val="Rimandonotaapidipagina"/>
          <w:rFonts w:ascii="Times" w:hAnsi="Times New Roman" w:cs="Times"/>
        </w:rPr>
        <w:footnoteReference w:id="297"/>
      </w:r>
      <w:r w:rsidRPr="00FB35F7">
        <w:rPr>
          <w:rFonts w:ascii="Times New Roman" w:hAnsi="Times New Roman" w:cs="Times"/>
        </w:rPr>
        <w:t xml:space="preserve"> et la même remarque peut s'appliquer à un très grand nombre d'interdictions alimentaires.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y a plus ; il arrive très souvent qu'une chose impure ou une puissance malfaisante devienne, sans changer de nature, mais par une simple modification des circonstances extéri</w:t>
      </w:r>
      <w:r w:rsidRPr="00FB35F7">
        <w:rPr>
          <w:rFonts w:ascii="Times" w:hAnsi="Times New Roman" w:cs="Times"/>
        </w:rPr>
        <w:softHyphen/>
      </w:r>
      <w:r w:rsidRPr="00FB35F7">
        <w:rPr>
          <w:rFonts w:ascii="Times New Roman" w:hAnsi="Times New Roman" w:cs="Times"/>
        </w:rPr>
        <w:t>eures, une chose sainte ou une puissance tutélaire, et inversement. Nous avons vu comment l'âme du mort, qui est d'abord un principe redouté, se transforme en génie protecteur, une fois que le deuil est terminé. De même, le cadavre, qui commence par n'inspirer que terreur et éloignement, est traité plus tard comme une relique vénérée : l'anthropophagie funéraire, qui est fréquemment pratiquée dans les sociétés australiennes, est la preuve de cette transfor</w:t>
      </w:r>
      <w:r w:rsidRPr="00FB35F7">
        <w:rPr>
          <w:rFonts w:ascii="Times" w:hAnsi="Times New Roman" w:cs="Times"/>
        </w:rPr>
        <w:softHyphen/>
      </w:r>
      <w:r w:rsidRPr="00FB35F7">
        <w:rPr>
          <w:rFonts w:ascii="Times New Roman" w:hAnsi="Times New Roman" w:cs="Times"/>
        </w:rPr>
        <w:t>mation </w:t>
      </w:r>
      <w:r w:rsidRPr="00FB35F7">
        <w:rPr>
          <w:rStyle w:val="Rimandonotaapidipagina"/>
          <w:rFonts w:ascii="Times" w:hAnsi="Times New Roman" w:cs="Times"/>
        </w:rPr>
        <w:footnoteReference w:id="298"/>
      </w:r>
      <w:r w:rsidRPr="00FB35F7">
        <w:rPr>
          <w:rFonts w:ascii="Times New Roman" w:hAnsi="Times New Roman" w:cs="Times"/>
        </w:rPr>
        <w:t>. L'animal totémique est l'être saint par excellence ; niais il est, pour celui qui en consomme indûment la chair, un principe de mort. D'une manière générale, le sacrilège est simplement un profane qui a été contagionné par une force religieuse bienfaisante. Celle-ci change de nature en changeant d'habitat ; elle souille au lieu de sanctifier </w:t>
      </w:r>
      <w:r w:rsidRPr="00FB35F7">
        <w:rPr>
          <w:rStyle w:val="Rimandonotaapidipagina"/>
          <w:rFonts w:ascii="Times" w:hAnsi="Times New Roman" w:cs="Times"/>
        </w:rPr>
        <w:footnoteReference w:id="299"/>
      </w:r>
      <w:r w:rsidRPr="00FB35F7">
        <w:rPr>
          <w:rFonts w:ascii="Times New Roman" w:hAnsi="Times New Roman" w:cs="Times"/>
        </w:rPr>
        <w:t>. Le sang qui provient des organes géni</w:t>
      </w:r>
      <w:r w:rsidRPr="00FB35F7">
        <w:rPr>
          <w:rFonts w:ascii="Times" w:hAnsi="Times New Roman" w:cs="Times"/>
        </w:rPr>
        <w:softHyphen/>
      </w:r>
      <w:r w:rsidRPr="00FB35F7">
        <w:rPr>
          <w:rFonts w:ascii="Times New Roman" w:hAnsi="Times New Roman" w:cs="Times"/>
        </w:rPr>
        <w:t>taux de la femme, bien qu'il soit évidemment impur comme celui des menstrues, est souvent employé comme un remède contre la maladie </w:t>
      </w:r>
      <w:r w:rsidRPr="00FB35F7">
        <w:rPr>
          <w:rStyle w:val="Rimandonotaapidipagina"/>
          <w:rFonts w:ascii="Times" w:hAnsi="Times New Roman" w:cs="Times"/>
        </w:rPr>
        <w:footnoteReference w:id="300"/>
      </w:r>
      <w:r w:rsidRPr="00FB35F7">
        <w:rPr>
          <w:rFonts w:ascii="Times New Roman" w:hAnsi="Times New Roman" w:cs="Times"/>
        </w:rPr>
        <w:t>. La victime immo</w:t>
      </w:r>
      <w:r w:rsidRPr="00FB35F7">
        <w:rPr>
          <w:rFonts w:ascii="Times" w:hAnsi="Times New Roman" w:cs="Times"/>
        </w:rPr>
        <w:softHyphen/>
      </w:r>
      <w:r w:rsidRPr="00FB35F7">
        <w:rPr>
          <w:rFonts w:ascii="Times New Roman" w:hAnsi="Times New Roman" w:cs="Times"/>
        </w:rPr>
        <w:t>lée dans les sacri</w:t>
      </w:r>
      <w:r w:rsidRPr="00FB35F7">
        <w:rPr>
          <w:rFonts w:ascii="Times" w:hAnsi="Times New Roman" w:cs="Times"/>
        </w:rPr>
        <w:softHyphen/>
      </w:r>
      <w:r w:rsidRPr="00FB35F7">
        <w:rPr>
          <w:rFonts w:ascii="Times New Roman" w:hAnsi="Times New Roman" w:cs="Times"/>
        </w:rPr>
        <w:t>fices expiatoires est chargée d'impureté, puisqu'on a concentré sur elle les péchés qu'il s'agit d'expier. Cependant, une fois qu'elle est abattue, sa chair et son sang sont employés aux plus pieux usages </w:t>
      </w:r>
      <w:r w:rsidRPr="00FB35F7">
        <w:rPr>
          <w:rStyle w:val="Rimandonotaapidipagina"/>
          <w:rFonts w:ascii="Times" w:hAnsi="Times New Roman" w:cs="Times"/>
        </w:rPr>
        <w:footnoteReference w:id="301"/>
      </w:r>
      <w:r w:rsidRPr="00FB35F7">
        <w:rPr>
          <w:rFonts w:ascii="Times New Roman" w:hAnsi="Times New Roman" w:cs="Times"/>
        </w:rPr>
        <w:t>. Au contraire, quoique la communion soit une opération religieuse qui a norma</w:t>
      </w:r>
      <w:r w:rsidRPr="00FB35F7">
        <w:rPr>
          <w:rFonts w:ascii="Times" w:hAnsi="Times New Roman" w:cs="Times"/>
        </w:rPr>
        <w:softHyphen/>
      </w:r>
      <w:r w:rsidRPr="00FB35F7">
        <w:rPr>
          <w:rFonts w:ascii="Times New Roman" w:hAnsi="Times New Roman" w:cs="Times"/>
        </w:rPr>
        <w:t>lement pour fonction de consacrer, elle produit parfois les mêmes effets qu'un sacrilège. Des individus qui ont communié sont, dans certains cas, obligés de se fuir comme des pestiférés. On dirait qu'ils sont devenus l'un pour l'autre une source de dangereuse contamination : le lien sacré qui les unit, en même temps les sépare. Les exem</w:t>
      </w:r>
      <w:r w:rsidRPr="00FB35F7">
        <w:rPr>
          <w:rFonts w:ascii="Times" w:hAnsi="Times New Roman" w:cs="Times"/>
        </w:rPr>
        <w:softHyphen/>
      </w:r>
      <w:r w:rsidRPr="00FB35F7">
        <w:rPr>
          <w:rFonts w:ascii="Times New Roman" w:hAnsi="Times New Roman" w:cs="Times"/>
        </w:rPr>
        <w:t>ples de ces sortes de communions sont nombreux en Australie. Un des plus typiques est celui que l'on observe chez les Narrinyeri et dans les tribus voisines. Quand un enfant vient au monde, ses parents conservent avec soin son cordon ombilical qui est censé receler quelque chose de son âme. Deux individus qui échangent leur cordon ainsi conservé, communient ensemble par le fait même de cet échange; car c'est comme s'ils échangeaient leur âme. Mais du même coup, il leur est interdit de se toucher, de se parler, même de se voir. Tout se passe comme s'ils étaient l'un pour l'autre un objet d'horreur </w:t>
      </w:r>
      <w:r w:rsidRPr="00FB35F7">
        <w:rPr>
          <w:rStyle w:val="Rimandonotaapidipagina"/>
          <w:rFonts w:ascii="Times" w:hAnsi="Times New Roman" w:cs="Times"/>
        </w:rPr>
        <w:footnoteReference w:id="302"/>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pur et l'impur ne sont donc pas deux genres séparés, mais deux variétés d'un même genre qui comprend toutes les choses sacrées. Il y a deux sortes de sacré, l'un faste, l'autre néfaste, et non seulement entre les deux formes opposées il n'y a pas de solution de continuité, mais un même objet peut passer de l'une à l'autre sans changer de nature. Avec du pur, on fait de l'impur, et réciproquement. C'est dans la possibilité de ces transmutations que consiste l'ambiguïté du sacré.</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Robertson Smith a eu un vif sentiment de cette ambiguïté, il n'en a jamais donné d'explication expresse. Il se borne à faire remarquer que, comme toutes les forces religieuses sont indistinctement intenses et contagieuses, il est sage de ne les aborder qu'avec de respectueuses précautions, quel que soit le sens dans lequel s'exerce leur action. Il lui sem</w:t>
      </w:r>
      <w:r w:rsidRPr="00FB35F7">
        <w:rPr>
          <w:rFonts w:ascii="Times" w:hAnsi="Times New Roman" w:cs="Times"/>
        </w:rPr>
        <w:softHyphen/>
      </w:r>
      <w:r w:rsidRPr="00FB35F7">
        <w:rPr>
          <w:rFonts w:ascii="Times New Roman" w:hAnsi="Times New Roman" w:cs="Times"/>
        </w:rPr>
        <w:t>blait qu'on pouvait ainsi rendre compte de l'air de parenté qu'elles présentent toutes en dépit des contrastes qui les opposent par ailleurs. Mais d'abord, la question n'était que déplacée ; il restait à faire voir d'où vient que les puissan</w:t>
      </w:r>
      <w:r w:rsidRPr="00FB35F7">
        <w:rPr>
          <w:rFonts w:ascii="Times" w:hAnsi="Times New Roman" w:cs="Times"/>
        </w:rPr>
        <w:softHyphen/>
      </w:r>
      <w:r w:rsidRPr="00FB35F7">
        <w:rPr>
          <w:rFonts w:ascii="Times New Roman" w:hAnsi="Times New Roman" w:cs="Times"/>
        </w:rPr>
        <w:t>ces de mal ont l'intensité et la contagiosité des autres. En d'autres termes, comment se fait-il qu'elles soient, elles aussi, de nature religieuse ? Ensuite, l'énergie et la force d'expansion qui leur sont communes ne permettent pas de comprendre comment, malgré le conflit qui les divise, elles peuvent se transformer les unes dans les autres ou se substituer les unes aux autres dans leurs fonctions respectives, comment le pur peut contaminer tandis que l'impur sert parfois à sanctifier </w:t>
      </w:r>
      <w:r w:rsidRPr="00FB35F7">
        <w:rPr>
          <w:rStyle w:val="Rimandonotaapidipagina"/>
          <w:rFonts w:ascii="Times" w:hAnsi="Times New Roman" w:cs="Times"/>
        </w:rPr>
        <w:footnoteReference w:id="303"/>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L'explication que nous avons précédemment proposée des rites piaculaires permet de répondre à cette double question.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avons vu, en effet, que les puissances mauvaises sont un produit de ces rites et les symbolisent. Quand la société traverse des circonstances qui l'attristent, l'angoissent ou l'irritent, elle exerce sur ses membres une pression pour qu'ils témoignent, par des actes significatifs, de leur tristesse, de leur angoisse on de leur colère. Elle leur impose comme un devoir de pleurer, de gémir, de s'infliger des blessures ou d'en infliger à autrui, car ces manifestations collectives et la communion morale qu'elles attestent et qu'elles renforcent restituent au groupe l'énergie que les événements menaçaient de lui soustraire, et elles lui permettent ainsi de se ressaisir. C'est cette expérience que l'homme interprète, quand il imagine, en dehors de lui, des êtres malfaisants dont l'hostilité, constitutionnelle ou tempo</w:t>
      </w:r>
      <w:r w:rsidRPr="00FB35F7">
        <w:rPr>
          <w:rFonts w:ascii="Times" w:hAnsi="Times New Roman" w:cs="Times"/>
        </w:rPr>
        <w:softHyphen/>
      </w:r>
      <w:r w:rsidRPr="00FB35F7">
        <w:rPr>
          <w:rFonts w:ascii="Times New Roman" w:hAnsi="Times New Roman" w:cs="Times"/>
        </w:rPr>
        <w:t>raire, ne peut être désarmée que par des souffrances humaines. Ces êtres ne sont donc autre chose que des états collectifs objectivés ; ils sont la société elle-même vue sous un de ses aspects. Mais nous savons, d'autre part, que les puissances bienfaisantes ne se sont pas constituées d'une autre manière ; elles aussi résultent de la vie collective et l'expriment; elles aussi représentent la société, mais saisie dans une attitude très différente, à savoir au moment où elle s'affirme avec confiance et presse avec ardeur les choses de concourir à la réalisation des fins qu'elle poursuit. Puisque ces deux sortes de forces ont une commune origine, il n'est pas surprenant que, tout en étant dirigées dans des sens opposés, elles aient une même nature, qu'elles soient également intenses et contagieuses, par conséquent interdites et sacrées.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Par cela même on peut comprendre comment elles se transforment les unes dans les autres. Puisqu'elles reflètent l'état affectif dans lequel se trouve le groupe, il suffit que cet état change pour qu'elles changent elles-mêmes de sens. Une fois que le deuil est terminé, la société domestique est rassérénée par le deuil lui-même ; elle reprend confiance; les individus sont allégés de la pression pénible qui s'exerçait sur eux; ils se sentent plus à l'aise. Il leur semble donc que l'esprit du mort a déposé ses sentiments hostiles pour devenir un protecteur bienveillant. Les autres transmutations dont nous avons cité des exemples s'expliquent de la même manière. Ce qui fait la sainteté d'une chose, c'est, comme nous l'avons montré, le sentiment collectif dont elle est l'objet. Que, en violation des interdits qui l'isolent, elle entre en contact avec une personne profane, ce même sentiment s'étendra contagieusement à cette dernière et lui imprimera un caractère spécial. Seulement, quand il y parvient, il se trouve dans un état très différent de celui où il était à l'origine. Froissé, irrité par la profanation qu'implique cette extension abusive et contre nature, il est devenu agressif et enclin aux violences destructives ; il tend à se venger de l'offense subie. Pour cette raison, le sujet contagionné apparaît comme envahi par une force virulente et novice, qui menace tout ce qui l'approche ; par suite, il n'inspire qu'éloignement et répugnance ; il est comme marqué d'une tare, d'une souillure. Et cependant, cette souillure a pour cause ce même état psychique qui, dans d'autres circonstances, consacrait et sanctifiait. Mais que la colère ainsi soulevée soit satis</w:t>
      </w:r>
      <w:r w:rsidRPr="00FB35F7">
        <w:rPr>
          <w:rFonts w:ascii="Times" w:hAnsi="Times New Roman" w:cs="Times"/>
        </w:rPr>
        <w:softHyphen/>
      </w:r>
      <w:r w:rsidRPr="00FB35F7">
        <w:rPr>
          <w:rFonts w:ascii="Times New Roman" w:hAnsi="Times New Roman" w:cs="Times"/>
        </w:rPr>
        <w:t>faite par un rite expiatoire et, soulagée, elle tombe ; le sentiment offensé s'apaise et revient à son état initial. Il agit donc, de nouveau, comme il agissait dans le principe ; au lieu de contaminer, il sanctifie. Comme il continue à contagionner l'objet auquel il s'est attaché, celui-ci ne saurait redevenir profane et religieusement indifférent. Mais le sens de la force religieuse qui paraît l'occuper s'est transformé : d'impur, il est devenu pur et instrument de purification.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résumé, les deux pôles de la vie religieuse correspondent aux deux états opposés par lesquels passe toute vie sociale. Il y a entre le sacré faste et le sacré néfaste le même contraste qu'entre les états d'euphorie et de dysphorie collective. Mais parce que les uns et les autres sont également collectifs, il y a, entre les constructions mythologiques qui les symbolisent, une intime parenté de nature. Les sentiments mis en commun varient de l'extrême abattement à l'extrême allégresse, de l'irritation douloureuse à l'enthousiasme extatique; mais, dans tous les cas, il y a communion des consciences et réconfort mutuel par suite de cette communion. Le processus fondamental est toujours le même ; seules, les circonstances le colorent différemment. C'est donc, en définitive, l'unité et la diversité de la vie sociale qui font, à la fois, l'unité et la diversité des êtres et des choses sacrées.</w:t>
      </w:r>
    </w:p>
    <w:p w:rsidR="003F2F8E" w:rsidRPr="00FB35F7" w:rsidRDefault="003F2F8E">
      <w:pPr>
        <w:jc w:val="both"/>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Cette ambiguïté, d'ailleurs, n'est pas particulière à la seule notion du sacré ; on trouve quelque chose de ce même caractère dans tous les rites qui viennent d'être étudiés. Certes, il était essentiel de les distinguer ; les confondre eût été méconnaître les multiples aspects de la vie religieuse. Mais d'un autre côté, si différents qu'ils puissent être, il n'y a pas entre eux de solution de continuité. Tout au contraire, ils chevauchent les uns sur les autres et peuvent même se remplacer mutuellement. Nous avons déjà montré que rites d'oblation et de communion, rites mimétiques, rites commémoratifs remplissent souvent les mêmes fonc</w:t>
      </w:r>
      <w:r w:rsidRPr="00FB35F7">
        <w:rPr>
          <w:rFonts w:ascii="Times" w:hAnsi="Times New Roman" w:cs="Times"/>
        </w:rPr>
        <w:softHyphen/>
      </w:r>
      <w:r w:rsidRPr="00FB35F7">
        <w:rPr>
          <w:rFonts w:ascii="Times New Roman" w:hAnsi="Times New Roman" w:cs="Times"/>
        </w:rPr>
        <w:t>tions. On pourrait croire que le culte négatif, tout au moins, est plus nettement séparé du culte positif ; et cependant, nous avons vu que le premier peut produire des effets positifs, identi</w:t>
      </w:r>
      <w:r w:rsidRPr="00FB35F7">
        <w:rPr>
          <w:rFonts w:ascii="Times" w:hAnsi="Times New Roman" w:cs="Times"/>
        </w:rPr>
        <w:softHyphen/>
      </w:r>
      <w:r w:rsidRPr="00FB35F7">
        <w:rPr>
          <w:rFonts w:ascii="Times New Roman" w:hAnsi="Times New Roman" w:cs="Times"/>
        </w:rPr>
        <w:t>ques à ceux que produit le second. Avec des jeûnes, des abstinences, des auto-mutilations, on obtient les mêmes résultats qu'avec des communions, des oblations, des commémorations. Inversement, les offrandes, les sacrifices impliquent des privations et des renoncements de toute sorte. Entre les rites ascétiques et les rites piaculaires, la continuité est encore plus apparente : les uns et les autres sont faits de souffrances, acceptées ou subies, et auxquelles est attribuée une efficacité analogue. Ainsi, les pratiques, tout comme les croyances, ne se rangent pas en des genres séparés. Si complexes que soient les manifesta</w:t>
      </w:r>
      <w:r w:rsidRPr="00FB35F7">
        <w:rPr>
          <w:rFonts w:ascii="Times" w:hAnsi="Times New Roman" w:cs="Times"/>
        </w:rPr>
        <w:softHyphen/>
      </w:r>
      <w:r w:rsidRPr="00FB35F7">
        <w:rPr>
          <w:rFonts w:ascii="Times New Roman" w:hAnsi="Times New Roman" w:cs="Times"/>
        </w:rPr>
        <w:t>tions extérieures de la vie religieuse, elle est, dans son fond, une et simple. Elle répond partout à un même besoin et dérive partout d'un même état d'esprit. Sous toutes ses formes, elle a pour objet d'élever l'homme au-dessus de lui-même et de lui faire vivre une vie supérieure à celle qu'il mènerait s'il obéissait uniquement à ses spontanéités individuelles : les croyances expriment cette vie en termes de représentations ; les rites l'organisent et en règlent le fonctionnement.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rPr>
        <w:br w:type="page"/>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Titreniveau1"/>
        <w:rPr>
          <w:rFonts w:ascii="Times New Roman" w:hAnsi="Times New Roman"/>
        </w:rPr>
      </w:pPr>
      <w:bookmarkStart w:id="31" w:name="conclusion"/>
      <w:r w:rsidRPr="00FB35F7">
        <w:rPr>
          <w:rFonts w:ascii="Times New Roman" w:hAnsi="Times New Roman"/>
        </w:rPr>
        <w:t>CONCLUSION</w:t>
      </w:r>
    </w:p>
    <w:bookmarkEnd w:id="31"/>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annoncions au début de cet ouvrage que la religion dont nous entreprenions l'étude contenait en elle les éléments les plus caractéristiques de la vie religieuse. On peut vérifier maintenant l'exactitude de cette proposition. Si simple que soit le système que nous avons étudié, nous y avons retrouvé toutes les grandes idées et toutes les principales attitudes ritu</w:t>
      </w:r>
      <w:r w:rsidRPr="00FB35F7">
        <w:rPr>
          <w:rFonts w:ascii="Times" w:hAnsi="Times New Roman" w:cs="Times"/>
        </w:rPr>
        <w:softHyphen/>
      </w:r>
      <w:r w:rsidRPr="00FB35F7">
        <w:rPr>
          <w:rFonts w:ascii="Times New Roman" w:hAnsi="Times New Roman" w:cs="Times"/>
        </w:rPr>
        <w:t>el</w:t>
      </w:r>
      <w:r w:rsidRPr="00FB35F7">
        <w:rPr>
          <w:rFonts w:ascii="Times" w:hAnsi="Times New Roman" w:cs="Times"/>
        </w:rPr>
        <w:softHyphen/>
      </w:r>
      <w:r w:rsidRPr="00FB35F7">
        <w:rPr>
          <w:rFonts w:ascii="Times New Roman" w:hAnsi="Times New Roman" w:cs="Times"/>
        </w:rPr>
        <w:t>les qui sont à la base des religions même les plus avancées : distinction des choses en sacrées et en profanes, notion d'âme, d'esprit, de personnalité mythique, de divinité nationale et même internationale, culte négatif avec les pratiques ascétiques qui en sont la forme exaspé</w:t>
      </w:r>
      <w:r w:rsidRPr="00FB35F7">
        <w:rPr>
          <w:rFonts w:ascii="Times" w:hAnsi="Times New Roman" w:cs="Times"/>
        </w:rPr>
        <w:softHyphen/>
      </w:r>
      <w:r w:rsidRPr="00FB35F7">
        <w:rPr>
          <w:rFonts w:ascii="Times New Roman" w:hAnsi="Times New Roman" w:cs="Times"/>
        </w:rPr>
        <w:t>rée, rites d'oblation et de communion, rites imitatifs, rites commémoratifs, rites piacu</w:t>
      </w:r>
      <w:r w:rsidRPr="00FB35F7">
        <w:rPr>
          <w:rFonts w:ascii="Times" w:hAnsi="Times New Roman" w:cs="Times"/>
        </w:rPr>
        <w:softHyphen/>
      </w:r>
      <w:r w:rsidRPr="00FB35F7">
        <w:rPr>
          <w:rFonts w:ascii="Times New Roman" w:hAnsi="Times New Roman" w:cs="Times"/>
        </w:rPr>
        <w:t>lai</w:t>
      </w:r>
      <w:r w:rsidRPr="00FB35F7">
        <w:rPr>
          <w:rFonts w:ascii="Times" w:hAnsi="Times New Roman" w:cs="Times"/>
        </w:rPr>
        <w:softHyphen/>
      </w:r>
      <w:r w:rsidRPr="00FB35F7">
        <w:rPr>
          <w:rFonts w:ascii="Times New Roman" w:hAnsi="Times New Roman" w:cs="Times"/>
        </w:rPr>
        <w:t>res, rien n'y manque d'essentiel. Nous sommes donc fondé à espérer que les résultats auxquels nous sommes parvenu ne sont pas particuliers au seul totémisme, mais peuvent nous aider à comprendre ce qu'est la religion en général.</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objectera qu'une seule religion, quelle que puisse être son aire d'extension, constitue une base étroite pour une telle induction. Nous ne songeons pas à méconnaître ce qu'une vérification étendue peut ajouter d'autorité à une théorie. Mais il n'est pas moins vrai que, quand une loi a été prouvée par une expérience bien faite, cette preuve est valable univer</w:t>
      </w:r>
      <w:r w:rsidRPr="00FB35F7">
        <w:rPr>
          <w:rFonts w:ascii="Times" w:hAnsi="Times New Roman" w:cs="Times"/>
        </w:rPr>
        <w:softHyphen/>
      </w:r>
      <w:r w:rsidRPr="00FB35F7">
        <w:rPr>
          <w:rFonts w:ascii="Times New Roman" w:hAnsi="Times New Roman" w:cs="Times"/>
        </w:rPr>
        <w:t>selle</w:t>
      </w:r>
      <w:r w:rsidRPr="00FB35F7">
        <w:rPr>
          <w:rFonts w:ascii="Times" w:hAnsi="Times New Roman" w:cs="Times"/>
        </w:rPr>
        <w:softHyphen/>
      </w:r>
      <w:r w:rsidRPr="00FB35F7">
        <w:rPr>
          <w:rFonts w:ascii="Times New Roman" w:hAnsi="Times New Roman" w:cs="Times"/>
        </w:rPr>
        <w:t>ment. Si, dans un cas même unique, un savant parvenait à surprendre le secret de la vie, ce cas fût-il celui de l'être protoplasmique le plus simple qu'on pût concevoir, les vérités ainsi obtenues seraient applicables à tous les vivants, même aux plus élevés. Si donc, dans les très humbles sociétés qui viennent d'être étudiées, nous avons réellement réussi à apercevoir quelques-uns des éléments dont sont faites les notions religieuses les plus fondamentales, il n'y a pas de raison pour ne pas étendre aux autres religions les résultats les plus généraux de notre recherche. Il n'est pas concevable, en effet, que, suivant les circonstances, un même effet puisse être dû tantôt à une cause, tantôt à une autre, à moins que, au fond, les deux causes n'en fassent qu'une. Une même idée ne peut pas exprimer ici une réalité, et là une réalité différente, à moins que cette dualité soit simplement apparente. Si, chez certains peu</w:t>
      </w:r>
      <w:r w:rsidRPr="00FB35F7">
        <w:rPr>
          <w:rFonts w:ascii="Times" w:hAnsi="Times New Roman" w:cs="Times"/>
        </w:rPr>
        <w:softHyphen/>
      </w:r>
      <w:r w:rsidRPr="00FB35F7">
        <w:rPr>
          <w:rFonts w:ascii="Times New Roman" w:hAnsi="Times New Roman" w:cs="Times"/>
        </w:rPr>
        <w:t>ples, les idées de sacré, d'âme, de dieux s'expliquent sociologiquement, on doit scientifi</w:t>
      </w:r>
      <w:r w:rsidRPr="00FB35F7">
        <w:rPr>
          <w:rFonts w:ascii="Times" w:hAnsi="Times New Roman" w:cs="Times"/>
        </w:rPr>
        <w:softHyphen/>
      </w:r>
      <w:r w:rsidRPr="00FB35F7">
        <w:rPr>
          <w:rFonts w:ascii="Times New Roman" w:hAnsi="Times New Roman" w:cs="Times"/>
        </w:rPr>
        <w:t>que</w:t>
      </w:r>
      <w:r w:rsidRPr="00FB35F7">
        <w:rPr>
          <w:rFonts w:ascii="Times" w:hAnsi="Times New Roman" w:cs="Times"/>
        </w:rPr>
        <w:softHyphen/>
      </w:r>
      <w:r w:rsidRPr="00FB35F7">
        <w:rPr>
          <w:rFonts w:ascii="Times New Roman" w:hAnsi="Times New Roman" w:cs="Times"/>
        </w:rPr>
        <w:t>ment présumer que, en principe, la même explication vaut pour tous les peuples où les mêmes idées se retrouvent avec les mêmes caractères essentiels. A supposer donc que nous ne nous soyons pas trompé, certaines, tout au moins, de nos conclusions peuvent légitime</w:t>
      </w:r>
      <w:r w:rsidRPr="00FB35F7">
        <w:rPr>
          <w:rFonts w:ascii="Times" w:hAnsi="Times New Roman" w:cs="Times"/>
        </w:rPr>
        <w:softHyphen/>
      </w:r>
      <w:r w:rsidRPr="00FB35F7">
        <w:rPr>
          <w:rFonts w:ascii="Times New Roman" w:hAnsi="Times New Roman" w:cs="Times"/>
        </w:rPr>
        <w:t>ment être généralisées. Le moment est venu de les dégager. Et une induction de cette nature, ayant pour base une expérience bien définie, est moins téméraire que tant de généralisations sommaires qui, en essayant d'atteindre d'un coup l'essence de la religion sans s'appuyer sur l'analyse d'aucune religion en particulier, risquent fort de se perdre dans le vide.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32" w:name="conclusion_1"/>
      <w:r w:rsidRPr="00FB35F7">
        <w:rPr>
          <w:rFonts w:ascii="Times New Roman" w:hAnsi="Times New Roman"/>
        </w:rPr>
        <w:t>I</w:t>
      </w:r>
    </w:p>
    <w:bookmarkEnd w:id="32"/>
    <w:p w:rsidR="003F2F8E" w:rsidRPr="00FB35F7" w:rsidRDefault="003F2F8E">
      <w:pPr>
        <w:ind w:firstLine="0"/>
        <w:jc w:val="both"/>
        <w:rPr>
          <w:rFonts w:ascii="Times New Roman" w:hAnsi="Times New Roman" w:cs="Times"/>
          <w:sz w:val="20"/>
          <w:szCs w:val="20"/>
          <w:effect w:val="none"/>
        </w:rPr>
      </w:pPr>
      <w:r w:rsidRPr="00FB35F7">
        <w:rPr>
          <w:rFonts w:ascii="Times" w:hAnsi="Times New Roman" w:cs="Times"/>
          <w:sz w:val="20"/>
          <w:szCs w:val="20"/>
          <w:effect w:val="none"/>
        </w:rPr>
        <w:fldChar w:fldCharType="begin"/>
      </w:r>
      <w:r w:rsidRPr="00FB35F7">
        <w:rPr>
          <w:rFonts w:ascii="Times New Roman" w:hAnsi="Times New Roman" w:cs="Times"/>
          <w:sz w:val="20"/>
          <w:szCs w:val="20"/>
          <w:effect w:val="none"/>
        </w:rPr>
        <w:instrText xml:space="preserve"> </w:instrText>
      </w:r>
      <w:r w:rsidR="002143E4">
        <w:rPr>
          <w:rFonts w:ascii="Times New Roman" w:hAnsi="Times New Roman" w:cs="Times"/>
          <w:sz w:val="20"/>
          <w:szCs w:val="20"/>
          <w:effect w:val="none"/>
        </w:rPr>
        <w:instrText>HYPERLINK</w:instrText>
      </w:r>
      <w:r w:rsidRPr="00FB35F7">
        <w:rPr>
          <w:rFonts w:ascii="Times New Roman" w:hAnsi="Times New Roman" w:cs="Times"/>
          <w:sz w:val="20"/>
          <w:szCs w:val="20"/>
          <w:effect w:val="none"/>
        </w:rPr>
        <w:instrText xml:space="preserve">  \l "tdm_livre_III" </w:instrText>
      </w:r>
      <w:r w:rsidRPr="00FB35F7">
        <w:rPr>
          <w:rFonts w:ascii="Times" w:hAnsi="Times New Roman" w:cs="Times"/>
          <w:szCs w:val="20"/>
          <w:effect w:val="none"/>
        </w:rPr>
      </w:r>
      <w:r w:rsidRPr="00FB35F7">
        <w:rPr>
          <w:rFonts w:ascii="Times" w:hAnsi="Times New Roman" w:cs="Times"/>
          <w:sz w:val="20"/>
          <w:szCs w:val="20"/>
          <w:effect w:val="none"/>
        </w:rPr>
        <w:fldChar w:fldCharType="separate"/>
      </w:r>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r w:rsidRPr="00FB35F7">
        <w:rPr>
          <w:rFonts w:ascii="Times" w:hAnsi="Times New Roman" w:cs="Times"/>
          <w:sz w:val="20"/>
          <w:szCs w:val="20"/>
          <w:effect w:val="none"/>
        </w:rPr>
        <w:fldChar w:fldCharType="end"/>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plus souvent, les théoriciens qui ont entrepris d'exprimer la religion en termes rationnels, y ont vu, avant tout, un système d'idées, répondant à un objet déterminé, Cet objet a été conçu de manières différentes : nature, infini, inconnaissable, idéal, etc. ; mais ces différences importent peu. Dans tous les cas, c'étaient les représentations, les croyances qui étaient considérées comme l'élément essentiel de la religion. Quant aux rites, ils n'apparais</w:t>
      </w:r>
      <w:r w:rsidRPr="00FB35F7">
        <w:rPr>
          <w:rFonts w:ascii="Times" w:hAnsi="Times New Roman" w:cs="Times"/>
        </w:rPr>
        <w:softHyphen/>
      </w:r>
      <w:r w:rsidRPr="00FB35F7">
        <w:rPr>
          <w:rFonts w:ascii="Times New Roman" w:hAnsi="Times New Roman" w:cs="Times"/>
        </w:rPr>
        <w:t>saient, de ce point de vue, que comme une traduction extérieure, contingente et matérielle, de ces états internes qui, seuls, passaient pour avoir une valeur intrinsèque. Cette conception est tellement répandue que la plupart du temps, les débats dont la religion est le thème tournent autour de la question de savoir si elle peut ou non se concilier avec la science, c'est-à-dire si, à côté de la connaissance scientifique, il y a place pour une autre forme de pensée qui serait spécifique</w:t>
      </w:r>
      <w:r w:rsidRPr="00FB35F7">
        <w:rPr>
          <w:rFonts w:ascii="Times" w:hAnsi="Times New Roman" w:cs="Times"/>
        </w:rPr>
        <w:softHyphen/>
      </w:r>
      <w:r w:rsidRPr="00FB35F7">
        <w:rPr>
          <w:rFonts w:ascii="Times New Roman" w:hAnsi="Times New Roman" w:cs="Times"/>
        </w:rPr>
        <w:t>ment religieuse.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les croyants, les hommes qui, vivant de la vie religieuse, ont la sensation directe de ce qui la constitue, objectent à cette manière de voir qu'elle ne répond pas à leur expérience journalière. Ils sentent, en effet, que la vraie fonction de la religion n'est pas de nous faire penser, d'enrichir notre connaissance, d'ajouter aux représentations que nous devons à la science des représentations d'une autre origine et d'un autre caractère, mais de nous faire agir, de nous aider à vivre. Le fidèle qui a communié avec son dieu n'est pas seulement un homme qui voit des vérités nouvelles que l'incroyant ignore ; c'est un homme qui peut davantage. 11 sent en lui plus de force soit pour supporter les difficultés de l'existence soit pour les vaincre. Il est comme élevé au-dessus des misères humaines parce qu'il est élevé au-dessus de sa condition d'homme ; il se croit sauvé du mal, sous quelque forme, d'ailleurs, qu'il conçoive le mal. Le premier article de toute foi, c'est la croyance au salut par la foi. Or, on ne voit pas comment une simple idée pourrait avoir cette efficacité. Une idée, en effet, n'est qu'un élément de nous-mêmes ; comment pourrait-elle nous conférer des pouvoirs supérieurs à ceux que nous tenons de notre nature ? Si riche qu'elle soit en vertus affectives elle ne saurait rien ajouter à notre vitalité naturelle ; car elle ne peut que déclencher les forces émotives qui sont en nous, non les créer ni les accroître. De ce que nous nous représentons un objet comme digne d'être aimé et recherché, il ne suit pas que nous nous sentions plus forts; niais il faut que de cet objet se dégagent des énergies supérieu</w:t>
      </w:r>
      <w:r w:rsidRPr="00FB35F7">
        <w:rPr>
          <w:rFonts w:ascii="Times" w:hAnsi="Times New Roman" w:cs="Times"/>
        </w:rPr>
        <w:softHyphen/>
      </w:r>
      <w:r w:rsidRPr="00FB35F7">
        <w:rPr>
          <w:rFonts w:ascii="Times New Roman" w:hAnsi="Times New Roman" w:cs="Times"/>
        </w:rPr>
        <w:t>res à celles dont nous disposons et, de plus, que nous ayons quelque moyen de les faire pénétrer en nous et de les mêler à notre vie intérieure. Or, pour cela, il ne suffit pas que nous les pensions, mais il est indispensable que nous nous placions dans leur sphère d'action, que nous nous tournions du côté par où nous pouvons le mieux ressentir leur influence ; en un mot, il faut que nous agissions et que nous répétions les actes qui sont ainsi nécessaires, toutes les fois que c'est utile pour en renouveler les effets. On entrevoit comment, de ce point de vue, cet ensemble d'actes régulièrement répétés qui constitue le culte reprend toute son importance. En fait, quiconque a réellement pratiqué une religion sait bien que c'est le culte qui suscite ces impressions de joie, de paix intérieure, de sérénité, d'enthousiasme qui sont, pour le fidèle, comme la preuve expérimen</w:t>
      </w:r>
      <w:r w:rsidRPr="00FB35F7">
        <w:rPr>
          <w:rFonts w:ascii="Times" w:hAnsi="Times New Roman" w:cs="Times"/>
        </w:rPr>
        <w:softHyphen/>
      </w:r>
      <w:r w:rsidRPr="00FB35F7">
        <w:rPr>
          <w:rFonts w:ascii="Times New Roman" w:hAnsi="Times New Roman" w:cs="Times"/>
        </w:rPr>
        <w:t>tale de ses croyances. Le culte n'est pas simplement un système de signes par lesquels la foi se traduit au dehors, c'est la collection des moyens par lesquels elle se crée et se recrée périodiquement. Qu'il consiste en manœu</w:t>
      </w:r>
      <w:r w:rsidRPr="00FB35F7">
        <w:rPr>
          <w:rFonts w:ascii="Times" w:hAnsi="Times New Roman" w:cs="Times"/>
        </w:rPr>
        <w:softHyphen/>
      </w:r>
      <w:r w:rsidRPr="00FB35F7">
        <w:rPr>
          <w:rFonts w:ascii="Times New Roman" w:hAnsi="Times New Roman" w:cs="Times"/>
        </w:rPr>
        <w:t>vres matérielles ou en opérations mentales, c'est toujours lui qui est efficace.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Toute notre étude repose sur ce postulat que ce sentiment unanime des croyants de tous les temps ne peut pas être purement illusoire. Tout comme un récent apologiste de la foi </w:t>
      </w:r>
      <w:r w:rsidRPr="00FB35F7">
        <w:rPr>
          <w:rStyle w:val="Rimandonotaapidipagina"/>
          <w:rFonts w:ascii="Times" w:hAnsi="Times New Roman" w:cs="Times"/>
        </w:rPr>
        <w:footnoteReference w:id="304"/>
      </w:r>
      <w:r w:rsidRPr="00FB35F7">
        <w:rPr>
          <w:rFonts w:ascii="Times New Roman" w:hAnsi="Times New Roman" w:cs="Times"/>
        </w:rPr>
        <w:t>, nous admettons donc que les croyances religieuses reposent sur une expérience spécifique dont la valeur démonstrative, en un sens, n'est pas inférieure à celle des expériences scientifi</w:t>
      </w:r>
      <w:r w:rsidRPr="00FB35F7">
        <w:rPr>
          <w:rFonts w:ascii="Times" w:hAnsi="Times New Roman" w:cs="Times"/>
        </w:rPr>
        <w:softHyphen/>
      </w:r>
      <w:r w:rsidRPr="00FB35F7">
        <w:rPr>
          <w:rFonts w:ascii="Times New Roman" w:hAnsi="Times New Roman" w:cs="Times"/>
        </w:rPr>
        <w:t>ques, tout en étant différente. Nous aussi nous pensons « qu'un arbre se connaît à ses fruits </w:t>
      </w:r>
      <w:r w:rsidRPr="00FB35F7">
        <w:rPr>
          <w:rStyle w:val="Rimandonotaapidipagina"/>
          <w:rFonts w:ascii="Times" w:hAnsi="Times New Roman" w:cs="Times"/>
        </w:rPr>
        <w:footnoteReference w:id="305"/>
      </w:r>
      <w:r w:rsidRPr="00FB35F7">
        <w:rPr>
          <w:rFonts w:ascii="Times New Roman" w:hAnsi="Times New Roman" w:cs="Times"/>
        </w:rPr>
        <w:t> » et que sa fécondité est la meilleure preuve de ce que valent ses racines. Mais de ce qu'il existe, si l'on veut, une « expérience religieuse » et de ce qu'elle est fondée en quelque manière - est-il, d'ailleurs, une expérience qui ne le soit pas ? - il ne suit aucunement que la réalité qui la fonde soit objectivement conforme à l'idée que s'en font les croyants. Le fait même que la façon dont elle a été conçue a infiniment varié suivant les temps suffit à prouver qu'aucune de ces conceptions ne l'exprime adéquatement. Si le savant pose comme un axiome que les sensations de chaleur, de lumière, qu'éprouvent les hommes, répondent à quelque cause objective, il n'en conclut pas que celle-ci soit telle qu'elle apparaît aux sens. De même, si les impressions que ressentent les fidèles ne sont pas imaginaires, cependant elles ne constituent pas des intuitions privilégiées ; il n'y a aucune raison de penser qu'elles nous renseignent mieux sur la nature de leur objet que les sensations vulgaires sur la nature des corps et de leurs propriétés. Pour découvrir en quoi cet objet consiste, il faut donc leur faire subir une élaboration analogue à celle qui a substitué à la représentation sensible du monde une représentation scientifique et conceptuelle.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Or c'est précisément ce que nous avons tenté de faire et nous avons vu que cette réalité, que les mythologies se sont représentées sous tant de formes différentes, mais qui est la cause objective, universelle et éternelle de ces sensations </w:t>
      </w:r>
      <w:r w:rsidRPr="00FB35F7">
        <w:rPr>
          <w:rFonts w:ascii="Times New Roman" w:hAnsi="Times New Roman" w:cs="Times"/>
          <w:i/>
          <w:iCs/>
        </w:rPr>
        <w:t>sui</w:t>
      </w:r>
      <w:r w:rsidRPr="00FB35F7">
        <w:rPr>
          <w:rFonts w:ascii="Times New Roman" w:hAnsi="Times New Roman" w:cs="Times"/>
        </w:rPr>
        <w:t xml:space="preserve"> </w:t>
      </w:r>
      <w:r w:rsidRPr="00FB35F7">
        <w:rPr>
          <w:rFonts w:ascii="Times New Roman" w:hAnsi="Times New Roman" w:cs="Times"/>
          <w:i/>
          <w:iCs/>
        </w:rPr>
        <w:t xml:space="preserve">generis </w:t>
      </w:r>
      <w:r w:rsidRPr="00FB35F7">
        <w:rPr>
          <w:rFonts w:ascii="Times New Roman" w:hAnsi="Times New Roman" w:cs="Times"/>
        </w:rPr>
        <w:t>dont est faite l'expérience religieuse, c'est la société. Nous avons montré quelles forces morales elle développe et comment elle éveille ce sentiment d'appui, de sauvegarde, de dépendance tutélaire qui attache le fidèle à son culte. C'est elle qui l'élève au-dessus de lui-même : c'est même elle qui le fait. Car ce qui fait l'homme, c'est cet ensemble de biens intellectuels qui constitue la civilisation, et la civilisation est l’œuvre de la société. Et ainsi s'explique le rôle prépondérant du culte dans toutes les religions, quelles qu'elles soient. C'est que la société ne peut faire sentir son influence que si elle est un acte, et elle n'est un acte que si les individus qui la composent sont assemblés et agissent en commun. C'est par l'action commune qu'elle prend conscience de soi et se pose ; elle est avant tout une coopéra</w:t>
      </w:r>
      <w:r w:rsidRPr="00FB35F7">
        <w:rPr>
          <w:rFonts w:ascii="Times" w:hAnsi="Times New Roman" w:cs="Times"/>
        </w:rPr>
        <w:softHyphen/>
      </w:r>
      <w:r w:rsidRPr="00FB35F7">
        <w:rPr>
          <w:rFonts w:ascii="Times New Roman" w:hAnsi="Times New Roman" w:cs="Times"/>
        </w:rPr>
        <w:t>tion active. Même les idées et les sentiments collectifs ne sont possibles que grâce à des mouvements extérieurs qui les symbolisent, ainsi que nous l'avons établi </w:t>
      </w:r>
      <w:r w:rsidRPr="00FB35F7">
        <w:rPr>
          <w:rStyle w:val="Rimandonotaapidipagina"/>
          <w:rFonts w:ascii="Times" w:hAnsi="Times New Roman" w:cs="Times"/>
        </w:rPr>
        <w:footnoteReference w:id="306"/>
      </w:r>
      <w:r w:rsidRPr="00FB35F7">
        <w:rPr>
          <w:rFonts w:ascii="Times New Roman" w:hAnsi="Times New Roman" w:cs="Times"/>
        </w:rPr>
        <w:t>. C'est donc l'action qui domine la vie religieuse par cela seul que c'est la société qui en est la source.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 toutes les raisons qui ont été données pour justifier cette conception, une dernière peut être ajoutée qui se dégage de tout cet ouvrage. Nous avons établi chemin faisant que les catégories fondamentales de la pensée et, par conséquent la science, ont des origines religieu</w:t>
      </w:r>
      <w:r w:rsidRPr="00FB35F7">
        <w:rPr>
          <w:rFonts w:ascii="Times" w:hAnsi="Times New Roman" w:cs="Times"/>
        </w:rPr>
        <w:softHyphen/>
      </w:r>
      <w:r w:rsidRPr="00FB35F7">
        <w:rPr>
          <w:rFonts w:ascii="Times New Roman" w:hAnsi="Times New Roman" w:cs="Times"/>
        </w:rPr>
        <w:t>ses. Nous avons vu qu'il en est de même de la magie et, par suite, des diverses techniques qui en sont dérivées. D'autre part, on sait depuis longtemps que, jusqu'à un moment relativement avancé de l'évolution, les règles de la morale et du droit ont été indistinctes des prescriptions rituelles. On peut donc dire, en résumé, que presque toutes les grandes institutions sociales sont nées de la religion </w:t>
      </w:r>
      <w:r w:rsidRPr="00FB35F7">
        <w:rPr>
          <w:rStyle w:val="Rimandonotaapidipagina"/>
          <w:rFonts w:ascii="Times" w:hAnsi="Times New Roman" w:cs="Times"/>
        </w:rPr>
        <w:footnoteReference w:id="307"/>
      </w:r>
      <w:r w:rsidRPr="00FB35F7">
        <w:rPr>
          <w:rFonts w:ascii="Times New Roman" w:hAnsi="Times New Roman" w:cs="Times"/>
        </w:rPr>
        <w:t>. Or, pour que les principaux aspects de la vie collective aient commencé par n'être que des aspects variés de la vie religieuse, il faut évidemment que la vie religieuse soit la forme éminente et comme une expression raccourcie de la vie collective tout entière. Si la religion a engendré tout ce qu'il y a d'essentiel dans la société, c'est que l'idée de la société est l'âme de la religion.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forces religieuses sont donc des forces humaines, des forces morales. Sans doute, parce que les sentiments collectifs ne peuvent prendre conscience d'eux-mêmes qu'en se fixant sur des objets extérieurs, elles n'ont pu elles-mêmes se constituer sans prendre aux choses quelques-uns de leurs caractères : elles ont acquis ainsi une sorte de nature physique ; à ce titre, elles sont venues se mêler à la vie du monde matériel et c'est par elles qu'on a cru pouvoir expliquer ce qui s'y passe. Mais quand on ne les considère que par ce côté et dans ce rôle, on ne voit que ce qu'elles ont de plus superficiel. En réalité, c'est à la conscience que sont empruntés les éléments essentiels dont elles sont faites. Il semble d'ordinaire qu'elles n'aient un caractère humain que quand elles sont pensées sous forme humaine </w:t>
      </w:r>
      <w:r w:rsidRPr="00FB35F7">
        <w:rPr>
          <w:rStyle w:val="Rimandonotaapidipagina"/>
          <w:rFonts w:ascii="Times" w:hAnsi="Times New Roman" w:cs="Times"/>
        </w:rPr>
        <w:footnoteReference w:id="308"/>
      </w:r>
      <w:r w:rsidRPr="00FB35F7">
        <w:rPr>
          <w:rFonts w:ascii="Times New Roman" w:hAnsi="Times New Roman" w:cs="Times"/>
        </w:rPr>
        <w:t>; mais même les plus impersonnelles et les plus anonymes ne sont autre chose que des sentiments objectivés.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à condition de voir les religions par ce biais qu'il est possible d'apercevoir leur véritable signification. A s'en tenir aux apparences, les rites font souvent l'effet d'opérations purement manuelles : ce sont des onctions, des lavages, des repas. Pour consacrer une chose, on la met en contact avec une source d'énergie religieuse, tout comme, aujourd'hui, pour échauffer un corps ou pour l'électriser, on le met en rapports avec une source de chaleur ou d'électricité ; les procédés employés de part et d'autre ne sont pas essentiellement différents. Ainsi entendue, la technique religieuse semble être une sorte de mécanique mystique. Mais ces manœuvres matérielles ne sont que l'enveloppe extérieure sous laquelle se dissimulent des opérations mentales. Finalement, il s'agit, non pas d'exercer une sorte de contrainte physique sur des forces aveugles et, d'ailleurs, imaginaires, mais d'atteindre des consciences, de les tonifier, de les discipliner. On a dit parfois des religions inférieures qu'elles étaient matérialistes. L'expression est inexacte. Toutes les religions, même les plus grossières, sont, en un sens, spiritualistes: car les puissances qu'elles mettent en jeu sont, avant tout, spirituelles et, d'autre part, c'est sur la vie morale qu'elles ont pour principale fonction d'agir. On comprend ainsi que ce qui a été fait au nom de la religion ne saurait avoir été fait en vain : car c'est nécessairement la société des hommes, c'est l'humanité qui en a recueilli les fruits.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dit-on, quelle est au juste la société dont on fait ainsi le substrat de la vie religieuse ? Est-ce la société réelle, telle qu'elle existe et fonctionne sous nos yeux, avec l'organisation morale, juridique, qu'elle s'est laborieusement façonnée au cours de l'histoire ? Mais elle est pleine de tares et d'imperfections. Le mal y côtoie le bien, l'injustice y règne souvent en maîtresse, la vérité y est à chaque instant obscurcie par l'erreur. Comment un être aussi grossièrement constitué pourrait-il inspirer les sentiments d'amour, l'enthousiasme ardent, l'esprit d'abnégation que toutes les religions réclament de leurs fidèles ? Ces êtres parfaits que sont les dieux ne peuvent avoir emprunté leurs traits à une réalité aussi médiocre, parfois même aussi basse.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S'agit-il, au contraire, de la société parfaite, où la justice et la vérité seraient souveraines, d'où le mal, sous toutes ses formes, serait extirpé ? On ne conteste pas qu'elle ne soit en rapport étroit avec le sentiment religieux ; car, diton, c'est à la réaliser que tendent les religions. Seulement, cette société-là n'est pas une donnée empirique, définie et observable ; c'est une chimère, c'est un rêve dont les hommes ont bercé leurs misères, mais qu'ils n'ont jamais vécu dans la réalité. C'est une simple idée qui vient traduire dans la conscience nos aspirations plus ou moins obscures vers le bien, le beau, l'idéal. Or, ces aspirations ont en nous leurs racines ; elles viennent des profondeurs mêmes de notre être ; il n'y a donc rien hors de nous qui puisse en rendre compte. D'ailleurs, elles sont déjà religieuses par elles-mêmes ; la société idéale suppose donc la religion, loin de pouvoir l'expliquer </w:t>
      </w:r>
      <w:r w:rsidRPr="00FB35F7">
        <w:rPr>
          <w:rStyle w:val="Rimandonotaapidipagina"/>
          <w:rFonts w:ascii="Times" w:hAnsi="Times New Roman" w:cs="Times"/>
        </w:rPr>
        <w:footnoteReference w:id="309"/>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tout d'abord, c'est simplifier arbitrairement les choses que de ne voir la religion que par son côté idéaliste: elle est réaliste à sa manière. Il n'y a pas de laideur physique ou morale, il n'y a pas de vices, pas de maux qui n'aient été divinisés. Il y a en des dieux du vol et de la ruse, de la luxure et de la guerre, de la maladie et de la mort. Le christianisme lui-même, si haute que soit l'idée qu'il se fait de la divinité, a été obligé de faire à l'esprit du mal une place dans sa mythologie. Satan est une pièce essentielle du système chrétien ; or, si c'est un être impur, ce n'est pas un être profane. L'anti-dieu est un dieu, inférieur et subordonné, il est vrai, doué pourtant de pouvoirs étendus ; il est même l'objet de rites, tout au moins négatifs. Loin donc que la religion ignore la société réelle et en fasse abstraction, elle en est l'image ; elle en reflète tous les aspects, même les plus vulgaires et les plus repoussants. Tout s'y retrouve et si, le plus souvent, on y voit le bien l'emporter sur le mal, la vie sur la mort, les puissances de lumière sur les puissances de ténèbres, c'est qu'il n'en est pas autrement dans la réalité. Car si le rapport entre ces forces contraires était renversé, la vie serait impossible; or, en fait, elle se maintient et tend même à se développer.</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à travers les mythologies et les théologies, on voit clairement transparaître la réalité, il est bien vrai qu'elle ne s'y retrouve qu'agrandie, transformée, idéalisée. Sous ce rapport, les religions les plus primitives ne diffèrent pas des plus récentes et des plus raffinées. Nous avons vu, par exemple, comment les Arunta placent à l'origine des temps une société mythique dont l'organisation reproduit exactement celle qui existe encore aujourd'hui; elle comprend les mêmes clans et les mêmes phratries, elle est soumise à la même réglemen</w:t>
      </w:r>
      <w:r w:rsidRPr="00FB35F7">
        <w:rPr>
          <w:rFonts w:ascii="Times" w:hAnsi="Times New Roman" w:cs="Times"/>
        </w:rPr>
        <w:softHyphen/>
      </w:r>
      <w:r w:rsidRPr="00FB35F7">
        <w:rPr>
          <w:rFonts w:ascii="Times New Roman" w:hAnsi="Times New Roman" w:cs="Times"/>
        </w:rPr>
        <w:t>tation matrimoniale, elle pratique les mêmes rites. Mais les personnages qui la composent sont des êtres idéaux, doués de pouvoirs et de vertus auxquels ne peut prétendre le commun des mortels. Leur nature n'est pas seulement plus haute, elle est différente, puisqu'elle tient à la foi de l'animalité et de l'humanité. Les puissances mauvaises y subissent une métamor</w:t>
      </w:r>
      <w:r w:rsidRPr="00FB35F7">
        <w:rPr>
          <w:rFonts w:ascii="Times" w:hAnsi="Times New Roman" w:cs="Times"/>
        </w:rPr>
        <w:softHyphen/>
      </w:r>
      <w:r w:rsidRPr="00FB35F7">
        <w:rPr>
          <w:rFonts w:ascii="Times New Roman" w:hAnsi="Times New Roman" w:cs="Times"/>
        </w:rPr>
        <w:t>phose analogue : le mal lui-même est comme sublimé et idéalisé. La question qui se pose est de savoir d'où vient cette idéalisation.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répond que l'homme a une faculté naturelle d'idéaliser, c'est-à-dire de substituer au monde de la réalité un monde différent où il se transporte par la pensée. Mais c'est changer les termes du problème ; ce n'est pas le résoudre ni même le faire avancer. Cette idéalisation systématique est une caractéristique essentielle des religions Les expliquer par un pouvoir inné d'idéaliser, c'est donc tout simplement remplacer un mot par un autre qui est l'équivalent du premier; c'est comme si l'on disait que l'homme a créé la religion parce qu'il avait une nature religieuse. Pourtant, l'animal lie connaît qu'un seul monde : c'est celui qu'il perçoit par l'expérience tant interne qu'externe. Seul, l'homme a la faculté de concevoir l'idéal et d'ajou</w:t>
      </w:r>
      <w:r w:rsidRPr="00FB35F7">
        <w:rPr>
          <w:rFonts w:ascii="Times" w:hAnsi="Times New Roman" w:cs="Times"/>
        </w:rPr>
        <w:softHyphen/>
      </w:r>
      <w:r w:rsidRPr="00FB35F7">
        <w:rPr>
          <w:rFonts w:ascii="Times New Roman" w:hAnsi="Times New Roman" w:cs="Times"/>
        </w:rPr>
        <w:t>ter au réel. D'où lui vient donc ce singulier privilège ? Avant d'en faire un fait premier, une vertu mystérieuse qui échappe à la science, encore faut-il s'être assuré qu'il ne dépend pas de conditions empiriquement déterminables.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L'explication que nous avons proposée de la religion a précisément cet avantage d'apporter une réponse à cette question. Car ce qui définit le sacré, c'est qu'il est surajouté au réel ; or l'idéal répond à la même définition : on ne peut donc expliquer l'un sans expliquer l'autre. Nous avons vu, en effet, que si la vie collective, quand elle atteint un certain degré d'inten</w:t>
      </w:r>
      <w:r w:rsidRPr="00FB35F7">
        <w:rPr>
          <w:rFonts w:ascii="Times" w:hAnsi="Times New Roman" w:cs="Times"/>
        </w:rPr>
        <w:softHyphen/>
      </w:r>
      <w:r w:rsidRPr="00FB35F7">
        <w:rPr>
          <w:rFonts w:ascii="Times New Roman" w:hAnsi="Times New Roman" w:cs="Times"/>
        </w:rPr>
        <w:t>sité, donne l'éveil à la pensée religieuse, c'est parce qu'elle détermine un état d'efferves</w:t>
      </w:r>
      <w:r w:rsidRPr="00FB35F7">
        <w:rPr>
          <w:rFonts w:ascii="Times" w:hAnsi="Times New Roman" w:cs="Times"/>
        </w:rPr>
        <w:softHyphen/>
      </w:r>
      <w:r w:rsidRPr="00FB35F7">
        <w:rPr>
          <w:rFonts w:ascii="Times New Roman" w:hAnsi="Times New Roman" w:cs="Times"/>
        </w:rPr>
        <w:t>cence qui change les conditions de l'activité psychique. Les énergies vitales sont surex</w:t>
      </w:r>
      <w:r w:rsidRPr="00FB35F7">
        <w:rPr>
          <w:rFonts w:ascii="Times" w:hAnsi="Times New Roman" w:cs="Times"/>
        </w:rPr>
        <w:softHyphen/>
      </w:r>
      <w:r w:rsidRPr="00FB35F7">
        <w:rPr>
          <w:rFonts w:ascii="Times New Roman" w:hAnsi="Times New Roman" w:cs="Times"/>
        </w:rPr>
        <w:t>citées, les passions plus vives, les sensations plus fortes ; il en est même qui ne se produisent qu'à ce moment. L'homme ne se reconnaît pas ; il se sent comme transformé et, par suite, il transforme le milieu qui l'entoure. Pour se rendre compte des impressions très particulières qu'il ressent, il prête aux choses avec lesquelles il est le plus directement en rapport des propriétés qu'elles n'ont pas, des pouvoirs exceptionnels, des vertus que ne possèdent pas les objets de l'expérience vulgaire. En un mot, au monde réel où s'écoule sa vie profane il en superpose un autre qui, en un sens, n'existe que dans sa pensée, mais auquel il attribue, par rapport au premier, une sorte de dignité plus haute. C'est donc, à ce double titre, un monde idéal.</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Ainsi, la formation d'un idéal ne constitue pas un fait irréductible, qui échappe à la science; il dépend de conditions que l'observation peut atteindre ; c'est un produit naturel de la vie sociale. Pour que la société puisse prendre conscience de soi et entretenir, au degré d'intensité nécessaire, le sentiment qu'elle a d'elle-même, il faut qu'elle s'assemble et se concentre. Or, cette concentration détermine une exaltation de la vie morale qui se traduit par un ensemble de conceptions idéales où vient se peindre la vie nouvelle qui s'est ainsi éveillée ; elles correspondent à cet afflux de forces psychiques qui se surajoutent alors à celles dont nous disposons pour les tâches quotidiennes de l'existence. Une société ne peut ni se créer ni se recréer sans, du même coup, créer de l'idéal. Cette création n'est pas pour elle une sorte d'acte surégatoire, par lequel elle se compléterait, une fois formée ; c'est l'acte par lequel elle se fait et se refait périodiquement. Aussi, quand on oppose la société idéale à la société réelle comme deux antagonistes qui nous entraîneraient en des sens contraires, on réalise et on oppose des abstractions. La société idéale n'est pas en dehors de la société réelle ; elle en fait partie. Bien loin que nous soyons partagés entre elles comme entre deux pôles qui se repoussent, on ne peut pas tenir à l'une sans tenir à l'autre. Car une société n'est pas simplement constituée par la masse des individus qui la composent, par le sol qu'ils occupent, par les choses dont ils se servent, par les mouvements qu'ils accomplissent, mais, avant tout, par l'idée qu'elle se fait d'elle-même. Et sans doute, il arrive qu'elle hésite sur la manière dont elle doit se concevoir : elle se sent tiraillée en des sens divergents. Mais ces conflits, quand ils éclatent, ont lieu non entre l'idéal et la réalité, mais entre idéaux différents, entre celui d'hier et celui d'aujourd'hui, entre celui qui a pour lui l'autorité de la tradition et celui qui est seulement en voie de devenir. Il y a assurément lieu de rechercher d'où vient que les idéaux évoluent; mais quelque solution qu'on donne à ce problème, il n'en reste pas moins que tout se passe dans le monde de l'idéal.</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Loin donc que l'idéal collectif que la religion exprime soit dû à je ne sais quel pouvoir inné de l'individu, c'est bien plutôt à l'école de la vie collective que l'individu a appris à idéaliser. C'est en s'assimilant les idéaux élaborés par la société qu'il est devenu capable de concevoir l'idéal. C'est la société qui, en l'entraînant dans sa sphère d'action, lui a fait contracter le besoin de se hausser au-dessus du monde de l'expérience et lui a, en même temps, fourni les moyens d'en concevoir un autre. Car ce monde nouveau, c'est elle qui l'a construit en se construisant elle-même, puisque c'est elle qu'il exprime. Ainsi, aussi bien chez l'individu que dans le groupe, la faculté d'idéaliser n'a rien de mystérieux. Elle n'est pas une sorte de luxe dont l'homme pourrait se passer, mais une condition de son existence. Il ne serait pas un être social, c'est-à-dire qu'il ne serait pas un homme, s'il ne l'avait acquise. Sans doute, en s'incarnant chez les individus, les idéaux collectifs tendent à s'individualiser. Chacun les entend à sa façon, les marque de son empreinte ; on en retranche des éléments, on en ajoute d'autres. L'idéal personnel se dégage ainsi de l'idéal social, a mesure que la personnalité individuelle se développe et devient une source autonome d'action. Mais si l'on veut comprendre cette aptitude, si singulière en apparence, à vivre en dehors du réel, il suffit de la rattacher aux conditions sociales dont elle dépend.</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Il faut donc se garder de voir dans cette théorie de la religion un simple rajeunissement du matérialisme historique : ce serait se méprendre singulièrement sur notre pensée. En montrant dans la religion une chose essentiellement sociale, nous n'entendons nullement dire qu'elle se borne à traduire, en un autre langage, les formes matérielles de la société et ses nécessités vitales immédiates. Sans doute, nous considérons comme une évidence que la vie sociale dépend de son substrat et en porte la marque, de même que la vie mentale de l'individu dépend de l'encéphale et même de l'organisme tout entier. Mais la conscience collective est autre chose qu'un simple épiphénomène de sa base morphologique, tout comme la conscience individuelle est autre chose qu'une simple efflorescence du système nerveux. Pour que la première apparaisse, il faut que se produise une synthèse </w:t>
      </w:r>
      <w:r w:rsidRPr="00FB35F7">
        <w:rPr>
          <w:rFonts w:ascii="Times New Roman" w:hAnsi="Times New Roman" w:cs="Times"/>
          <w:i/>
          <w:iCs/>
        </w:rPr>
        <w:t>sui</w:t>
      </w:r>
      <w:r w:rsidRPr="00FB35F7">
        <w:rPr>
          <w:rFonts w:ascii="Times New Roman" w:hAnsi="Times New Roman" w:cs="Times"/>
        </w:rPr>
        <w:t xml:space="preserve"> </w:t>
      </w:r>
      <w:r w:rsidRPr="00FB35F7">
        <w:rPr>
          <w:rFonts w:ascii="Times New Roman" w:hAnsi="Times New Roman" w:cs="Times"/>
          <w:i/>
          <w:iCs/>
        </w:rPr>
        <w:t xml:space="preserve">generis </w:t>
      </w:r>
      <w:r w:rsidRPr="00FB35F7">
        <w:rPr>
          <w:rFonts w:ascii="Times New Roman" w:hAnsi="Times New Roman" w:cs="Times"/>
        </w:rPr>
        <w:t>des consciences particulières. Or, cette synthèse a pour effet de dégager tout un monde de sentiments, d'idées, d'images qui, une fois nés, obéissent à des lois qui leur sont propres. Ils s'appellent, se repoussent, fusionnent, se segmentent, prolifèrent sans que toutes ces combinaisons soient directement commandées et nécessitées par l'état de la réalité sous-jacente. La vie ainsi soulevée jouit même d'une assez grande indépendance pour qu'elle se joue parfois en des manifestations sans but, sans utilité d'aucune sorte, pour le seul plaisir de s'affirmer. Nous avons précisément montré que c'est souvent le cas de l'activité rituelle et de la pensée mythologique </w:t>
      </w:r>
      <w:r w:rsidRPr="00FB35F7">
        <w:rPr>
          <w:rStyle w:val="Rimandonotaapidipagina"/>
          <w:rFonts w:ascii="Times" w:hAnsi="Times New Roman" w:cs="Times"/>
        </w:rPr>
        <w:footnoteReference w:id="310"/>
      </w:r>
      <w:r w:rsidRPr="00FB35F7">
        <w:rPr>
          <w:rFonts w:ascii="Times New Roman" w:hAnsi="Times New Roman" w:cs="Times"/>
        </w:rPr>
        <w: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Mais si la religion est un produit de causes sociales, comment expliquer le culte individuel et le caractère universaliste de certaines religions. Si elle est née </w:t>
      </w:r>
      <w:r w:rsidRPr="00FB35F7">
        <w:rPr>
          <w:rFonts w:ascii="Times New Roman" w:hAnsi="Times New Roman" w:cs="Times"/>
          <w:i/>
          <w:iCs/>
        </w:rPr>
        <w:t xml:space="preserve">in foro externo, </w:t>
      </w:r>
      <w:r w:rsidRPr="00FB35F7">
        <w:rPr>
          <w:rFonts w:ascii="Times New Roman" w:hAnsi="Times New Roman" w:cs="Times"/>
        </w:rPr>
        <w:t>comment a-t-elle pu passer dans le for intérieur de l'individu et s'y engager de plus en plus profondément ? Si elle est l’œuvre de sociétés définies et individualisées, comment a-t-elle pu s'en détacher jusqu'à être conçue comme la chose commune de l'humanité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avons rencontré au cours de notre recherche les premiers germes de la religion individuelle et du cosmopolitisme religieux, et nous avons vu comment ils se sont formés ; nous possédons ainsi les éléments les plus généraux de la réponse qui peut être faite à cette double question.</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avons montré, en effet, comment la force religieuse qui anime le clan, en s'incar</w:t>
      </w:r>
      <w:r w:rsidRPr="00FB35F7">
        <w:rPr>
          <w:rFonts w:ascii="Times" w:hAnsi="Times New Roman" w:cs="Times"/>
        </w:rPr>
        <w:softHyphen/>
      </w:r>
      <w:r w:rsidRPr="00FB35F7">
        <w:rPr>
          <w:rFonts w:ascii="Times New Roman" w:hAnsi="Times New Roman" w:cs="Times"/>
        </w:rPr>
        <w:t>nant dans les consciences particulières, se particularise elle-même. Ainsi se forment des êtres sacrés secondaires ; chaque individu a les siens, faits à son image, associés à sa vie intime, solidaires de sa destinée : c'est l'âme, le totem individuel, l'ancêtre protecteur, etc. Ces êtres sont l'objet de rites que le fidèle peut célébrer seul, en dehors de tout groupement ; c'est donc bien une première forme de culte individuel. Assurément, ce n'est pas encore qu'un culte très rudimentaire ; mais c'est que, comme la personnalité individuelle est alors très peu marquée, comme on lui attribue peu de valeur, le culte qui l'exprime ne pouvait être encore très développé. Mais à mesure que les individus se sont différenciés davantage et que la valeur de la personne s'est accrue, le culte correspondant a pris lui-même plus de place dans l'ensemble de la vie religieuse, en même temps qu'il s'est clos plus hermétiquement au dehors.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L'existence de cultes individuels n'implique donc rien qui contredise ou qui embarrasse une explication sociologique de la religion ; car les forces religieuses auxquelles ils s'adres</w:t>
      </w:r>
      <w:r w:rsidRPr="00FB35F7">
        <w:rPr>
          <w:rFonts w:ascii="Times" w:hAnsi="Times New Roman" w:cs="Times"/>
        </w:rPr>
        <w:softHyphen/>
      </w:r>
      <w:r w:rsidRPr="00FB35F7">
        <w:rPr>
          <w:rFonts w:ascii="Times New Roman" w:hAnsi="Times New Roman" w:cs="Times"/>
        </w:rPr>
        <w:t>sent ne sont que des formes individualisées de forces collectives. Ainsi, alors même que la religion semble tenir tout entière dans le for intérieur de l'individu, c'est encore dans la société que se trouve la source vive à laquelle elle s'alimente. Nous pouvons maintenant apprécier ce que vaut cet individualisme radical qui voudrait faire de la religion une chose purement individuelle : il méconnaît les conditions fondamentales de la vie religieuse. S'il est resté jusqu'à présent à l'état d'aspirations théoriques qui ne se sont jamais réalisées, c'est qu'il est irréalisable. Une philosophie peut bien s'élaborer dans le silence de la méditation inté</w:t>
      </w:r>
      <w:r w:rsidRPr="00FB35F7">
        <w:rPr>
          <w:rFonts w:ascii="Times" w:hAnsi="Times New Roman" w:cs="Times"/>
        </w:rPr>
        <w:softHyphen/>
      </w:r>
      <w:r w:rsidRPr="00FB35F7">
        <w:rPr>
          <w:rFonts w:ascii="Times New Roman" w:hAnsi="Times New Roman" w:cs="Times"/>
        </w:rPr>
        <w:t>rieure, mais non une foi. Car une foi est, avant tout, chaleur, vie, enthousiasme, exaltation de toute l'activité mentale, transport de l'individu au-dessus de lui-même. Or, comment pourrait-il, sans sortir de soi, ajouter aux énergies qu'il possède ? Comment pourrait-il se dépasser par ses seules forces ? Le seul foyer de chaleur auquel nous puissions nous réchauf</w:t>
      </w:r>
      <w:r w:rsidRPr="00FB35F7">
        <w:rPr>
          <w:rFonts w:ascii="Times" w:hAnsi="Times New Roman" w:cs="Times"/>
        </w:rPr>
        <w:softHyphen/>
      </w:r>
      <w:r w:rsidRPr="00FB35F7">
        <w:rPr>
          <w:rFonts w:ascii="Times New Roman" w:hAnsi="Times New Roman" w:cs="Times"/>
        </w:rPr>
        <w:t>fer morale</w:t>
      </w:r>
      <w:r w:rsidRPr="00FB35F7">
        <w:rPr>
          <w:rFonts w:ascii="Times" w:hAnsi="Times New Roman" w:cs="Times"/>
        </w:rPr>
        <w:softHyphen/>
      </w:r>
      <w:r w:rsidRPr="00FB35F7">
        <w:rPr>
          <w:rFonts w:ascii="Times New Roman" w:hAnsi="Times New Roman" w:cs="Times"/>
        </w:rPr>
        <w:t>ment est celui que forme la société de nos semblables ; les seules forces morales dont nous puissions sustenter et accroître les nôtres sont celles que nous prête autrui. Admettons même qu'il existe réellement des êtres plus ou moins analogues à ceux que nous représentent les mythologies. Pour qu'ils puissent avoir sur les âmes l'action utile qui est leur raison d'être, il faut qu'on croie en eux. Or les croyances ne sont actives que quand elles sont partagées. On peut bien les entretenir quelque temps par un effort tout personnel ; mais ce n'est pas ainsi qu'elles naissent ni qu'elles s'acquièrent; il est même douteux qu'elles puissent se conserver dans ces conditions. En fait, l'homme qui a une véritable foi éprouve invinciblement le besoin de la répandre ; pour cela; il sort de son isolement, il se rapproche des autres, il cherche à les convaincre et c'est l'ardeur des convictions qu'il suscite qui vient réconforter la sienne. Elle s'étiolerait vite si elle restait seule.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en est de l'universalisme religieux comme de l'individualisme. Bien loin que ce soit un attribut exclusif de quelques très grandes religions, nous l'avons trouvé, non pas sans doute à la base, mais au sommet du système australien. Bunjil, Daramulun, Baiame ne sont pas de simples dieux tribaux; chacun d'eux est reconnu par une pluralité de tribus différentes. Leur culte est, en un sens, international. Cette conception est donc toute proche de celle qu'on retrouve dans les théologies les plus récentes. Aussi certains écrivains ont-ils cru devoir, pour cette raison, en nier l'authenticité, si incontestable qu'elle soit.</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Or nous avons pu montrer comment elle s'est formée.</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Des tribus voisines et de même civilisation ne peuvent pas ne pas être en rapports cons</w:t>
      </w:r>
      <w:r w:rsidRPr="00FB35F7">
        <w:rPr>
          <w:rFonts w:ascii="Times" w:hAnsi="Times New Roman" w:cs="Times"/>
        </w:rPr>
        <w:softHyphen/>
      </w:r>
      <w:r w:rsidRPr="00FB35F7">
        <w:rPr>
          <w:rFonts w:ascii="Times New Roman" w:hAnsi="Times New Roman" w:cs="Times"/>
        </w:rPr>
        <w:t>tants les unes avec les autres. Toutes sortes de circonstances leur en fournissent l'occa</w:t>
      </w:r>
      <w:r w:rsidRPr="00FB35F7">
        <w:rPr>
          <w:rFonts w:ascii="Times" w:hAnsi="Times New Roman" w:cs="Times"/>
        </w:rPr>
        <w:softHyphen/>
      </w:r>
      <w:r w:rsidRPr="00FB35F7">
        <w:rPr>
          <w:rFonts w:ascii="Times New Roman" w:hAnsi="Times New Roman" w:cs="Times"/>
        </w:rPr>
        <w:t>sion : en dehors du commerce, qui est alors rudimentaire, il y a les mariages ; car les mariages internationaux sont très fréquents en Australie. Au cours de ces rencontres, les hommes pren</w:t>
      </w:r>
      <w:r w:rsidRPr="00FB35F7">
        <w:rPr>
          <w:rFonts w:ascii="Times" w:hAnsi="Times New Roman" w:cs="Times"/>
        </w:rPr>
        <w:softHyphen/>
      </w:r>
      <w:r w:rsidRPr="00FB35F7">
        <w:rPr>
          <w:rFonts w:ascii="Times New Roman" w:hAnsi="Times New Roman" w:cs="Times"/>
        </w:rPr>
        <w:t>nent naturellement conscience de la parenté morale qui les unit. Ils ont la même organisation sociale, la même division en phratries, clans, classes matrimoniales ; ils pratiquent les mêmes rites d'initiation ou des rites tout à fait similaires. Des emprunts mutuels ou des conventions achèvent de renforcer ces ressemblances spontanées. Les dieux auxquels étaient rattachées des institutions aussi manifestement identiques pouvaient difficilement rester distincts dans les esprits. Tout les rapprochait et, par suite, à supposer même que chaque tribu en ait élaboré la notion d'une manière indépendante, ils devaient nécessairement tendre à se confondre les uns dans les autres. Il est, d'ailleurs, probable que c'est dans des assemblées inter-tribales qu'ils furent primitivement conçus. Car ce sont, avant tout, des dieux de l'initiation et, dans les cérémonies d'initiation, des tribus différentes sont généralement représentées. Si donc des êtres sacrés se sont formés qui ne se rattachent à aucune société, géographiquement déterminée, ce n'est pas qu'ils aient une origine extra-sociale. Mais c'est que, par-dessus ces groupements géographiques, il en existe déjà d'autres dont les contours sont plus indécis : ils n'ont pas de frontières arrêtées, mais comprennent toute sorte de tribus plus ou moins voisines et parentes. La vie sociale très particulière qui s'en dégage tend donc à se répandre sur une aire d'extension sans limites définies. Tout naturellement, les personnages mythologiques qui y correspondent ont le même caractère; leur sphère d'influence n'est pas délimitée ; ils planent par-dessus les tribus particulières et par-dessus l'espace. Ce sont les grands dieux internationaux.</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Or il n'y a rien dans cette situation qui soit spécial aux sociétés australiennes. Il n'est pas de peuple, pas d'État qui ne soit engagé dans une autre société, plus ou moins illimitée, qui comprend tous les peuples, tous les États avec lesquels le premier est directement ou indirectement en rapports ; il n'y a pas de vie nationale qui ne soit dominée par une vie collective de nature internationale. A mesure qu'on avance dans l'histoire, ces groupements internationaux prennent plus d'importance et d'étendue. On entrevoit ainsi comment, dans certains cas, la tendance universaliste a pu se développer au point d'affecter, non plus seulement les idées les plus hautes du système religieux, mais les principes mêmes sur lesquels il repose.</w:t>
      </w:r>
    </w:p>
    <w:p w:rsidR="003F2F8E" w:rsidRPr="00FB35F7" w:rsidRDefault="003F2F8E">
      <w:pPr>
        <w:jc w:val="both"/>
        <w:rPr>
          <w:rFonts w:ascii="Times New Roman" w:hAnsi="Times New Roman" w:cs="Times"/>
        </w:rPr>
      </w:pPr>
      <w:r w:rsidRPr="00FB35F7">
        <w:rPr>
          <w:rFonts w:ascii="Times New Roman" w:hAnsi="Times New Roman" w:cs="Times"/>
        </w:rPr>
        <w:br w:type="page"/>
      </w:r>
    </w:p>
    <w:p w:rsidR="003F2F8E" w:rsidRPr="00FB35F7" w:rsidRDefault="003F2F8E">
      <w:pPr>
        <w:jc w:val="both"/>
        <w:rPr>
          <w:rFonts w:ascii="Times New Roman" w:hAnsi="Times New Roman" w:cs="Times"/>
        </w:rPr>
      </w:pPr>
    </w:p>
    <w:p w:rsidR="003F2F8E" w:rsidRPr="00FB35F7" w:rsidRDefault="003F2F8E">
      <w:pPr>
        <w:pStyle w:val="section"/>
        <w:rPr>
          <w:rFonts w:ascii="Times New Roman" w:hAnsi="Times New Roman"/>
        </w:rPr>
      </w:pPr>
      <w:bookmarkStart w:id="33" w:name="conclusion_2"/>
      <w:r w:rsidRPr="00FB35F7">
        <w:rPr>
          <w:rFonts w:ascii="Times New Roman" w:hAnsi="Times New Roman"/>
        </w:rPr>
        <w:t>II</w:t>
      </w:r>
    </w:p>
    <w:bookmarkEnd w:id="33"/>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Il y a donc dans la religion quelque chose d'éternel qui est destiné à survivre à tous les symboles particuliers dans lesquels la pensée religieuse s'est successivement enveloppée. Il ne peut pas y avoir de société qui ne sente le besoin d'entretenir et de raffermir, à intervalles réguliers, les sentiments collectifs et les idées collectives qui font son unité et sa personnalité. Or, cette réfection morale ne peut être obtenue qu'au moyen de réunions, d'assemblées, de congrégations où les individus, étroitement rapprochés les uns des autres, réaffirment en commun leurs communs sentiments ; de là, des cérémonies qui, par leur objet, par les résultats qu'elles produisent, par les procédés qui y sont employés, ne diffèrent pas en nature des cérémonies proprement religieuses. Quelle différence essentielle y a-t-il entre une assemblée de chrétiens célébrant les principales dates de la vie du Christ, ou de juifs fêtant soit la sortie d'Égypte soit la promulgation du décalogue, et une réunion de citoyens commémorant l'institution d'une nouvelle charte morale ou quelque grand événement de la vie nationale ?</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Si nous avons peut-être quelque mal aujourd'hui à nous représenter en quoi pourront consister ces fêtes et ces cérémonies de l'avenir, c'est que nous traversons une phase de transition et de médiocrité morale. Les grandes choses du passé, celles qui enthousiasmaient nos pères, n'excitent plus chez nous la même ardeur, soit parce qu'elles sont entrées dans l'usage commun au point de nous devenir inconscientes, soit parce qu'elles ne répondent plus à nos aspirations actuelles ; et cependant, il ne s'est encore rien fait qui les remplace. Nous ne pouvons plus nous passionner pour les principes au nom desquels le christianisme recommandait aux maîtres de traiter humainement leurs esclaves, et, d'autre part, l'idée qu'il se fait de l'égalité et de la fraternité humaine nous paraît aujourd'hui laisser trop de place à d'injustes inégalités. Sa pitié pour les humbles nous semble trop platonique; nous en voudrions une qui fût plus efficace; mais nous ne voyons pas encore clairement ce qu'elle doit être ni comment elle pourra se réaliser dans les faits. En un mot, les anciens dieux vieillissent on meurent, et d'autres ne sont pas nés. C'est ce qui a rendu vaine la tentative de Comte en vue d'organiser une religion avec de vieux souvenirs historiques, artificiellement réveillés : c'est de la vie elle-même, et non d'un passé mort que peut sortir un culte vivant. Mais cet état d'incertitude et d'agitation confuse ne saurait durer éternellement. Un jour viendra où nos sociétés connaîtront à nouveau des heures d'effervescence créatrice au cours desquelles de nouveaux idéaux surgiront, de nouvelles formules se dégageront qui serviront, pendant un temps, de guide à l'humanité ; et ces heures une fois vécues, les hommes éprouve</w:t>
      </w:r>
      <w:r w:rsidRPr="00FB35F7">
        <w:rPr>
          <w:rFonts w:ascii="Times New Roman" w:hAnsi="Times New Roman" w:cs="Times"/>
        </w:rPr>
        <w:softHyphen/>
        <w:t>ront spontanément le besoin de les revivre de temps en temps par la pensée, c'est-à-dire d'en entretenir le souvenir au moyen de fêtes qui en revivifient régulièrement les fruits. Déjà nous avons vu comment la Révolution institua tout un cycle de fêtes pour tenir dans un état de perpétuelle jeunesse les principes dont elle s'inspirait. Si l'institution périclita vite, c'est que la foi révolutionnaire ne dura qu'un temps; c'est que les déceptions et le décourage</w:t>
      </w:r>
      <w:r w:rsidRPr="00FB35F7">
        <w:rPr>
          <w:rFonts w:ascii="Times New Roman" w:hAnsi="Times New Roman" w:cs="Times"/>
        </w:rPr>
        <w:softHyphen/>
        <w:t>ment succé</w:t>
      </w:r>
      <w:r w:rsidRPr="00FB35F7">
        <w:rPr>
          <w:rFonts w:ascii="Times New Roman" w:hAnsi="Times New Roman" w:cs="Times"/>
        </w:rPr>
        <w:softHyphen/>
        <w:t>dèrent rapidement au premier moment d'enthousiasme. Mais, quoique l'œuvre ait avorté, elle nous permet de nous représenter ce qu'elle aurait pu être dans d'autres conditions ; et tout fait penser qu'elle sera tôt ou tard reprise. Il n'y a pas d'évangiles qui soient immortels et il n'y a pas de raison de croire que l'humanité soit désormais incapable d'en concevoir de nouveaux. Quant à savoir ce que seront les symboles où viendra s'exprimer la foi nouvelle, s'ils ressembleront ou non à ceux du passé, s'ils seront plus adéquats à la réalité qu'ils auront pour objet de traduire, c'est là une question qui dépasse les facultés humaines de précision et qui, d'ailleurs, ne tient pas au fond des choses.</w:t>
      </w:r>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les fêtes, les rites, le culte en un mot, ne sont pas toute la religion. Celle-ci n'est pas seulement un système de pratiques ; c'est aussi un système d'idées dont l'objet est d'exprimer le mode; nous avons vu que même les plus humbles ont leur cosmologie. Quelque rapport qu'il puisse y avoir entre ces deux éléments de la vie religieuse, ils ne laissent pas d'être très différents. L'un est tourné du côté de l'action qu'il sollicite et qu'il règle; l'autre du côté de la pensée qu'il enrichit et qu'il organise. Ils ne dépendent donc pas des mêmes conditions et, par suite, il y a lieu de se demander si le second répond à des nécessités aussi universelles et aussi permanentes que le premier.</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Quand on attribue à la pensée religieuse des caractères spécifiques, quand on croit qu'elle a pour fonction d'exprimer, par des méthodes qui lui sont propres, tout un aspect du réel qui échappe à la connaissance vulgaire comme à la science, on se refuse naturellement à admettre que la religion puisse jamais être déchue de son rôle spéculatif. Mais l'analyse des faits ne nous a pas paru démontrer cette spécificité. La religion que nous venons d'étudier est une de celles où les symboles employés sont le plus déconcertants pour la raison. Tout y paraît mystérieux. Ces êtres qui participent à la fois des règnes les plus hétérogènes, qui se multiplient sans cesser d'être uns, qui se fragmentent sans se diminuer, semblent, au premier abord, appartenir à un monde entièrement différent de celui où nous vivons; on a même été jusqu'à dire que la pensée qui l'a construit ignorait totalement les lois de la logique. jamais, peut-être, le contraste entre la raison et la foi n'a été plus accusé. Si donc il y eut un moment dans l'histoire où leur hétérogénéité devrait ressortir avec évidence, c'est bien celui-là. Or, contrairement aux apparences, nous avons constaté que les réalités auxquelles s'applique alors la spéculation religieuse sont celles-là mêmes qui serviront plus tard d'objets à la réflexion des savants : c'est la nature, l'homme, la société. Le mystère qui paraît les entourer est tout superficiel et se dissipe devant une observation plus approfondie : il suffit d'écarter le voile dont l'imagination mythologique les a recouvertes pour qu'elles apparaissent telles qu'elles sont. Ces réalités, la religion s'efforce de les traduire en un langage intelligible qui ne diffère pas en nature de celui que la science emploie ; de part et d'autre il s'agit de rattacher les choses les unes aux autres, d'établir entre elles des relations internes, de les classer, de les systématiser. Nous avons même vu que les notions essentielles de la logique scientifique sont d'origine religieuse. Sans doute, la science, pour les utiliser, les soumet à une élaboration nouvelle ; elle les épure de toute sorte d'élé</w:t>
      </w:r>
      <w:r w:rsidRPr="00FB35F7">
        <w:rPr>
          <w:rFonts w:ascii="Times New Roman" w:hAnsi="Times New Roman" w:cs="Times"/>
        </w:rPr>
        <w:softHyphen/>
        <w:t>ments adventices; d'une manière générale elle apporte, dans toutes ses démarches, un esprit critique qu'ignore la religion ; elle s'entoure de précautions pour « éviter la précipitation et la prévention », pour tenir à l'écart les passions, les préjugés et toutes les influences subjectives. Mais ces perfectionnements méthodologi</w:t>
      </w:r>
      <w:r w:rsidRPr="00FB35F7">
        <w:rPr>
          <w:rFonts w:ascii="Times New Roman" w:hAnsi="Times New Roman" w:cs="Times"/>
        </w:rPr>
        <w:softHyphen/>
        <w:t>ques ne suffisent pas à la différencier de la religion. L'une et l'autre, sous ce rapport, poursuivent le même but ; la pensée scientifique n'est qu'une forme plus parfaite de la pensée religieuse. Il semble donc naturel que la seconde s'efface progressivement devant la première, à mesure que celle-ci devient plus apte à s'acquitter de la tâche.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Et il n'est pas douteux, en effet, que cette régression ne se soit produite au cours de l'histoire. Issue de la religion, la science tend à se substituer à cette dernière pour tout ce qui concerne les fonctions cognitives et intellectuelles. Déjà le christianisme a consacre définiti</w:t>
      </w:r>
      <w:r w:rsidRPr="00FB35F7">
        <w:rPr>
          <w:rFonts w:ascii="Times New Roman" w:hAnsi="Times New Roman" w:cs="Times"/>
        </w:rPr>
        <w:softHyphen/>
        <w:t xml:space="preserve">vement cette substitution dans l'ordre des phénomènes matériels. Voyant dans la matière la chose profane par excellence, il en a facilement abandonné la connaissance à une discipline étrangère, </w:t>
      </w:r>
      <w:r w:rsidRPr="00FB35F7">
        <w:rPr>
          <w:rFonts w:ascii="Times New Roman" w:hAnsi="Times New Roman" w:cs="Times"/>
          <w:i/>
          <w:iCs/>
        </w:rPr>
        <w:t xml:space="preserve">tradidit mundum hominum disputationi ; c'est </w:t>
      </w:r>
      <w:r w:rsidRPr="00FB35F7">
        <w:rPr>
          <w:rFonts w:ascii="Times New Roman" w:hAnsi="Times New Roman" w:cs="Times"/>
        </w:rPr>
        <w:t>ainsi que les sciences de la nature ont pu s'établir et faire reconnaître leur autorité sans de trop grandes difficultés. Mais il ne pouvait se dessaisir aussi aisément du monde des âmes ; car c'est sur les âmes que le dieu des chrétiens aspire avant tout à régner. C'est pourquoi, pendant longtemps, l'idée de soumettre la vie psychique à la science faisait l'effet d'une sorte de profanation; même aujourd'hui, elle répugne encore à nombre d'esprits. Cependant, la psychologie expérimentale et comparative s'est constituée et il faut aujourd'hui compter avec elle. Mais le monde de la vie religieuse et morale reste encore interdit. La grande majorité des hommes continue à croire qu'il y a là un ordre de choses où l'esprit ne peut pénétrer que par des voies très spéciales. De là, les vives résistances que l'on rencontre toutes les fois que l'on essaie de traiter scientifi</w:t>
      </w:r>
      <w:r w:rsidRPr="00FB35F7">
        <w:rPr>
          <w:rFonts w:ascii="Times New Roman" w:hAnsi="Times New Roman" w:cs="Times"/>
        </w:rPr>
        <w:softHyphen/>
        <w:t>quement les phénomènes religieux et moraux. Mais, en dépit des oppositions, ces tentatives se répètent et cette persistance même permet de prévoir que cette dernière barrière finira par céder et que la science s'établira en maîtresse même dans cette région réservée.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Voilà en quoi consiste le conflit de la science et de la religion. On s'en fait souvent une idée inexacte. On dit que la science nie la religion en principe. Mais la religion existe ; c'est un système de faits donnés ; en un mot, c'est une réalité. Comment la science pourrait-elle nier une réalité ? De plus, en tant que la religion est action, en tant qu'elle est un moyen de faire vivre les hommes, la science ne saurait en tenir lieu, car si elle exprime la vie, elle ne la crée pas ; elle peut bien chercher à expliquer la foi, mais, par cela même, elle la suppose. Il n'y a donc de conflit que sur un point limité. Des deux fonctions que remplissait primitive</w:t>
      </w:r>
      <w:r w:rsidRPr="00FB35F7">
        <w:rPr>
          <w:rFonts w:ascii="Times New Roman" w:hAnsi="Times New Roman" w:cs="Times"/>
        </w:rPr>
        <w:softHyphen/>
        <w:t>ment la religion, il en existe une, mais une seule, qui tend de plus en plus à lui échapper : c'est la fonction spéculative. Ce que la science conteste à la religion, ce n'est pas le droit d'être, c'est le droit de dogmatiser sur la nature des choses, c'est l'espèce de compétence spéciale qu'elle s'attribuait pour connaître de l'homme et du monde. En fait, elle ne se connaît pas elle-même. Elle ne sait ni de quoi elle est faite ni à quels besoins elle répond. Elle est elle-même objet de science ; tant s'en faut qu'elle puisse faire la loi à la science! Et comme, d'un autre côté, en dehors du réel à quoi s'applique la réflexion scientifique, il n'existe pas d'objet propre sur lequel porte la spéculation religieuse, il est évident que celle-ci ne saurait jouer dans l'avenir le même rôle que dans le passé.</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Cependant, elle paraît appelée à se transformer plutôt qu'à disparaître.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avons dit qu'il y a dans la religion quelque chose d'éternel ; c'est le culte, la foi. Mais les hommes ne peuvent célébrer des cérémonies auxquelles ils ne verraient pas de raison d'être, ni accepter une foi qu'ils ne comprendraient d'aucune manière. Pour la répandre ou simplement pour l'entretenir, il faut la justifier, c'est-à-dire en faire la théorie. Une théorie de ce genre est, sans doute, tenue de s'appuyer sur les différentes sciences, à partir du moment où elles existent ; sciences sociales d'abord, puisque la foi religieuse a ses origines dans la société ; psychologie, puisque la société est une synthèse de consciences humaines ; sciences de la nature enfin, puisque l'homme et la société sont fonction de l'univers et n'en peuvent être abstraits qu'artificiellement. Mais si importants que puissent être les emprunts faits aux sciences constituées, ils ne sauraient suffire ; car la foi est avant tout un élan à agir et la science, si loin qu'on la pousse, reste toujours à distance de l'action. La science est fragmentaire, incomplète ; elle n'avance que lentement et n'est jamais achevée ; la vie, elle, ne peut attendre. Des théories qui sont destinées à faire vivre, à faire agir, sont donc obligées de devancer la science et de la compléter prématurément. Elles ne sont possibles que si les exigences de la pratique et les nécessités vitales, telles que nous les sentons sans les concevoir distinctement, poussent la pensée en avant, par-delà ce que la science nous permet d'affirmer. Ainsi, les religions, même les plus rationnelles et les plus laïcisées, ne peuvent pas et ne pourront jamais se passer d'une sorte très particulière de spéculation qui, tout en ayant les mêmes objets que la science elle-même, ne saurait pourtant être proprement scientifique : les intuitions obscures de la sensation et du sentiment y tiennent souvent lieu de raisons logiques. Par un côté, cette spéculation ressemble donc à celle que nous rencontrons dans les religions du passé ; mais, par un autre, elle s'en distingue. Tout en s'accordant le droit de dépasser la science, elle doit commencer par la connaître et par s'en inspirer. Dès que l'autorité de la science est établie, il faut en tenir compte; on peut aller plus loin qu'elle sous la pression de la nécessité, mais c'est d'elle qu'il faut partir. On ne peut rien affirmer qu'elle nie, rien nier qu'elle affirme, rien établir qui ne s'appuie, directement ou indirectement, sur des principes qu'on lui emprunte. Dès lors, la loi n'exerce plus, sur le système des représen</w:t>
      </w:r>
      <w:r w:rsidRPr="00FB35F7">
        <w:rPr>
          <w:rFonts w:ascii="Times New Roman" w:hAnsi="Times New Roman" w:cs="Times"/>
        </w:rPr>
        <w:softHyphen/>
        <w:t>tations que l'on peut continuer à appeler religieuses, la même hégémonie qu'autre</w:t>
      </w:r>
      <w:r w:rsidRPr="00FB35F7">
        <w:rPr>
          <w:rFonts w:ascii="Times New Roman" w:hAnsi="Times New Roman" w:cs="Times"/>
        </w:rPr>
        <w:softHyphen/>
        <w:t>fois. En face d'elle, se dresse une puissance rivale qui, née d'elle, la soumet désormais à sa critique et à son contrôle. Et tout fait prévoir que ce contrôle deviendra toujours plus étendu et plus efficace, sans qu'il soit possible d'assigner de limite à son influence future.</w:t>
      </w:r>
    </w:p>
    <w:p w:rsidR="003F2F8E" w:rsidRPr="00FB35F7" w:rsidRDefault="003F2F8E">
      <w:pPr>
        <w:rPr>
          <w:rFonts w:ascii="Times New Roman" w:hAnsi="Times New Roman" w:cs="Times"/>
        </w:rPr>
      </w:pPr>
    </w:p>
    <w:p w:rsidR="003F2F8E" w:rsidRPr="00FB35F7" w:rsidRDefault="003F2F8E">
      <w:pPr>
        <w:rPr>
          <w:rFonts w:ascii="Times New Roman" w:hAnsi="Times New Roman" w:cs="Times"/>
        </w:rPr>
      </w:pPr>
    </w:p>
    <w:p w:rsidR="003F2F8E" w:rsidRPr="00FB35F7" w:rsidRDefault="003F2F8E">
      <w:pPr>
        <w:pStyle w:val="section"/>
        <w:rPr>
          <w:rFonts w:ascii="Times New Roman" w:hAnsi="Times New Roman"/>
        </w:rPr>
      </w:pPr>
      <w:bookmarkStart w:id="34" w:name="conclusion_3"/>
      <w:r w:rsidRPr="00FB35F7">
        <w:rPr>
          <w:rFonts w:ascii="Times New Roman" w:hAnsi="Times New Roman"/>
        </w:rPr>
        <w:t>III</w:t>
      </w:r>
    </w:p>
    <w:bookmarkEnd w:id="34"/>
    <w:p w:rsidR="003F2F8E" w:rsidRPr="00FB35F7" w:rsidRDefault="003F2F8E">
      <w:pPr>
        <w:tabs>
          <w:tab w:val="right" w:pos="9360"/>
        </w:tabs>
        <w:rPr>
          <w:rFonts w:ascii="Times New Roman" w:hAnsi="Times New Roman" w:cs="Times"/>
        </w:rPr>
      </w:pPr>
    </w:p>
    <w:p w:rsidR="003F2F8E" w:rsidRPr="00FB35F7" w:rsidRDefault="003F2F8E">
      <w:pPr>
        <w:tabs>
          <w:tab w:val="right" w:pos="9360"/>
        </w:tabs>
        <w:rPr>
          <w:rFonts w:ascii="Times New Roman" w:hAnsi="Times New Roman" w:cs="Times"/>
        </w:rPr>
      </w:pPr>
    </w:p>
    <w:p w:rsidR="003F2F8E" w:rsidRPr="00FB35F7" w:rsidRDefault="003F2F8E">
      <w:pPr>
        <w:jc w:val="both"/>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jc w:val="both"/>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si les notions fondamentales de la science sont d'origine religieuse, comment la religion a-t-elle pu les engendrer ? On n'aperçoit pas au premier abord quels rapports il peut y avoir entre la logique et la religion. Même, puisque la réalité qu'exprime la pensée religieuse est la société, la question peut se poser dans les termes suivants qui en font mieux apparaître encore toute la difficulté : qu'est-ce qui a pu faire de la vie sociale une source aussi impor</w:t>
      </w:r>
      <w:r w:rsidRPr="00FB35F7">
        <w:rPr>
          <w:rFonts w:ascii="Times New Roman" w:hAnsi="Times New Roman" w:cs="Times"/>
        </w:rPr>
        <w:softHyphen/>
        <w:t>tante de vie logique ? Rien, semble-t-il, ne la prédestinait à ce rôle ; car ce n'est évidemment pas pour satisfaire des besoins spéculatifs que les hommes se sont associés.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nous trouvera peut-être téméraire d'aborder ici un problème d'une telle complexité. Pour pouvoir le traiter comme il conviendrait, il faudrait que les conditions sociologiques de la connaissance fussent mieux connues qu'elles ne sont ; nous commençons seulement à entrevoir quelques-unes d'entre elles. Cependant, la question est si grave et elle est si directement impliquée par tout ce qui précède que nous devons faire effort pour ne pas la laisser sans réponse. Peut-être, d'ailleurs, n'est-il pas impossible de poser dès à présent quelques principes généraux qui sont tout au moins de nature à éclairer la solution.</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matière de la pensée logique est faite de concepts. Chercher comment la société peut avoir joué un rôle dans la genèse de la pensée logique revient donc à se demander comment elle peut avoir pris part à la formation des concepts.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Si, comme il arrive le plus ordinairement, on ne voit dans le concept qu'une idée géné</w:t>
      </w:r>
      <w:r w:rsidRPr="00FB35F7">
        <w:rPr>
          <w:rFonts w:ascii="Times New Roman" w:hAnsi="Times New Roman" w:cs="Times"/>
        </w:rPr>
        <w:softHyphen/>
        <w:t>rale, le problème paraît insoluble. L'individu, en effet, peut, par ses moyens propres, compa</w:t>
      </w:r>
      <w:r w:rsidRPr="00FB35F7">
        <w:rPr>
          <w:rFonts w:ascii="Times New Roman" w:hAnsi="Times New Roman" w:cs="Times"/>
        </w:rPr>
        <w:softHyphen/>
        <w:t>rer ses perceptions ou ses images, dégager ce qu'elles ont de commun, en un mot généraliser. Il est donc malaisé d'apercevoir pourquoi la généralisation ne serait possible que dans et par la société. Mais d'abord, il est inadmissible que la pensée logique se caractérise exclusive</w:t>
      </w:r>
      <w:r w:rsidRPr="00FB35F7">
        <w:rPr>
          <w:rFonts w:ascii="Times New Roman" w:hAnsi="Times New Roman" w:cs="Times"/>
        </w:rPr>
        <w:softHyphen/>
        <w:t>ment par la plus grande extension des représentations qui la constituent. Si les idées particulières n'ont rien de logique, pourquoi en serait-il autrement des idées générales ? Le général n'existe que dans le particulier ; c'est le particulier simplifié et appauvri. Le premier ne saurait donc avoir des vertus et des privilèges que n'a pas le second. Inversement, si la pensée conceptuelle peut s'appliquer au genre, à l'espèce, à la variété, si restreinte que celle-ci puisse être, pourquoi ne pourrait-elle pas s'étendre à l'indi</w:t>
      </w:r>
      <w:r w:rsidRPr="00FB35F7">
        <w:rPr>
          <w:rFonts w:ascii="Times New Roman" w:hAnsi="Times New Roman" w:cs="Times"/>
        </w:rPr>
        <w:softHyphen/>
        <w:t>vidu, c'est-à-dire à la limite vers laquelle tend la repré</w:t>
      </w:r>
      <w:r w:rsidRPr="00FB35F7">
        <w:rPr>
          <w:rFonts w:ascii="Times New Roman" w:hAnsi="Times New Roman" w:cs="Times"/>
        </w:rPr>
        <w:softHyphen/>
        <w:t>sentation à mesure que son extension diminue ? En fait, il existe bien des concepts qui ont des individus pour objets. Dans toute espèce de religion, les dieux sont des individua</w:t>
      </w:r>
      <w:r w:rsidRPr="00FB35F7">
        <w:rPr>
          <w:rFonts w:ascii="Times New Roman" w:hAnsi="Times New Roman" w:cs="Times"/>
        </w:rPr>
        <w:softHyphen/>
        <w:t>lités distinctes les unes des autres ; pourtant, ils sont con</w:t>
      </w:r>
      <w:r w:rsidRPr="00FB35F7">
        <w:rPr>
          <w:rFonts w:ascii="Times New Roman" w:hAnsi="Times New Roman" w:cs="Times"/>
        </w:rPr>
        <w:softHyphen/>
        <w:t>çus, non perçus. Chaque peuple se représente d'une certaine façon, variable suivant les temps, ses héros histo</w:t>
      </w:r>
      <w:r w:rsidRPr="00FB35F7">
        <w:rPr>
          <w:rFonts w:ascii="Times New Roman" w:hAnsi="Times New Roman" w:cs="Times"/>
        </w:rPr>
        <w:softHyphen/>
        <w:t>ri</w:t>
      </w:r>
      <w:r w:rsidRPr="00FB35F7">
        <w:rPr>
          <w:rFonts w:ascii="Times New Roman" w:hAnsi="Times New Roman" w:cs="Times"/>
        </w:rPr>
        <w:softHyphen/>
        <w:t>ques ou légendaires ; ces représentations sont conceptuelles. Enfin, chacun de nous se fait une certaine notion des individus avec lesquels il est en rapport, de leur caractère, de leur physionomie, des traits distinctifs de leur tempérament physique et moral : ces notions sont de véritables concepts. Sans doute, ils sont, en général, assez grossièrement formés ; mais même parmi les concepts scientifiques, en est-il beaucoup qui soient parfaitement adéquats à leur objet ? Sous ce rapport, il n'y a, entre les uns et les autres, que des différences de degrés.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donc par d'autres caractères qu'il faut définir le concept. Il s'oppose aux représen</w:t>
      </w:r>
      <w:r w:rsidRPr="00FB35F7">
        <w:rPr>
          <w:rFonts w:ascii="Times New Roman" w:hAnsi="Times New Roman" w:cs="Times"/>
        </w:rPr>
        <w:softHyphen/>
        <w:t>ta</w:t>
      </w:r>
      <w:r w:rsidRPr="00FB35F7">
        <w:rPr>
          <w:rFonts w:ascii="Times New Roman" w:hAnsi="Times New Roman" w:cs="Times"/>
        </w:rPr>
        <w:softHyphen/>
        <w:t>tions sensibles de tout ordre - sensations, perceptions ou images - par les propriétés suivantes.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Les représentations sensibles sont dans un flux perpétuel; elles se poussent les unes les autres comme les flots d'un fleuve et, même pendant le temps qu'elles durent, elles ne restent pas semblables à elles-mêmes. Chacune d'elles est fonction de l'instant précis où elle a lieu. Nous ne sommes jamais assurés de retrouver une perception telle que nous l'avons éprouvée une première fois ; car si la chose perçue n'a pas changé, c'est nous qui ne sommes plus le même homme. Le concept, au contraire, est comme en dehors du temps et du devenir ; il est soustrait à toute cette agitation ; on dirait qu'il est situé dans une région différente de l'esprit, plus sereine et plus calme. Il ne se meut pas de lui-même, par une évolution interne et spontanée ; au contraire, il résiste au changement. C'est une manière de penser qui, à chaque moment du temps, est fixée et cristallisée </w:t>
      </w:r>
      <w:r w:rsidRPr="00FB35F7">
        <w:rPr>
          <w:rStyle w:val="Rimandonotaapidipagina"/>
          <w:rFonts w:ascii="Times New Roman" w:hAnsi="Times New Roman" w:cs="Times"/>
        </w:rPr>
        <w:footnoteReference w:id="311"/>
      </w:r>
      <w:r w:rsidRPr="00FB35F7">
        <w:rPr>
          <w:rFonts w:ascii="Times New Roman" w:hAnsi="Times New Roman" w:cs="Times"/>
        </w:rPr>
        <w:t>. Dans la mesure où il est ce qu'il doit être, il est immuable. S'il change, ce n'est pas qu'il soit dans sa nature de changer ; c'est que nous avons découvert en lui quelque imperfection; c'est qu'il a besoin d'être rectifié. Le système de concepts avec lequel nous pensons dans la vie courante est celui qu'exprime le vocabulaire de notre langue maternelle car chaque mot traduit un concept. Or la langue est fixée elle ne change que très lentement et, par conséquent, il en est de même de l'organisation concep</w:t>
      </w:r>
      <w:r w:rsidRPr="00FB35F7">
        <w:rPr>
          <w:rFonts w:ascii="Times New Roman" w:hAnsi="Times New Roman" w:cs="Times"/>
        </w:rPr>
        <w:softHyphen/>
        <w:t>tuelle qu'elle exprime. Le savant se trouve dans la même situation vis-à-vis de la termino</w:t>
      </w:r>
      <w:r w:rsidRPr="00FB35F7">
        <w:rPr>
          <w:rFonts w:ascii="Times New Roman" w:hAnsi="Times New Roman" w:cs="Times"/>
        </w:rPr>
        <w:softHyphen/>
        <w:t>logie spéciale qu'emploie la science à laquelle il se consacre, et, par conséquent, vis-à-vis du système spécial de concepts auquel cette terminologie correspond. Sans doute, il peut innover, mais ses innovations sont toujours des sortes de violences faites à des manières de penser instituées.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même temps qu'il est relativement immuable, le concept est, sinon universel, du moins universalisable. Un concept n'est pas mon concept ; il m'est commun avec d'autres hommes ou, en tout cas, il peut leur être communiqué. Il m'est impossible de faire passer une sensation de ma conscience dans la conscience d'autrui; elle tient étroitement à mon organis</w:t>
      </w:r>
      <w:r w:rsidRPr="00FB35F7">
        <w:rPr>
          <w:rFonts w:ascii="Times New Roman" w:hAnsi="Times New Roman" w:cs="Times"/>
        </w:rPr>
        <w:softHyphen/>
        <w:t>me et à ma personnalité et elle n'en peut être détachée. Tout ce que je puis faire est d'inviter autrui à se mettre en face du même objet que moi et à s'ouvrir à son action. Au contraire, la conversation, le commerce intellectuel entre les hommes consiste dans un échange de concepts. Le concept est une représentation essentiellement impersonnelle : c'est par lui que les intelligences humaines communient </w:t>
      </w:r>
      <w:r w:rsidRPr="00FB35F7">
        <w:rPr>
          <w:rStyle w:val="Rimandonotaapidipagina"/>
          <w:rFonts w:ascii="Times New Roman" w:hAnsi="Times New Roman" w:cs="Times"/>
        </w:rPr>
        <w:footnoteReference w:id="312"/>
      </w:r>
      <w:r w:rsidRPr="00FB35F7">
        <w:rPr>
          <w:rFonts w:ascii="Times New Roman" w:hAnsi="Times New Roman" w:cs="Times"/>
        </w:rPr>
        <w:t>.</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La nature du concept, ainsi défini, dit ses origines. S'il est commun à tous, c'est qu'il est l'œuvre de la communauté. Puisqu'il ne porte l'empreinte d'aucune intelligence particulière, c'est qu'il est élaboré par une intelligence unique où toutes les autres se rencontrent et viennent, en quelque sorte, S'alimenter. S'il a plus de stabilité que les sensations ou que les images, c'est que les représentations collectives sont plus stables que les représentations individuelles ; car, tandis que l'individu est sensible même à de faibles changements qui se produisent dans son milieu interne ou externe, seuls, des événements d'une suffisante gravité peuvent réussir à affecter l'assiette mentale de la société. Toutes les fois que nous sommes en présence d'un type </w:t>
      </w:r>
      <w:r w:rsidRPr="00FB35F7">
        <w:rPr>
          <w:rStyle w:val="Rimandonotaapidipagina"/>
          <w:rFonts w:ascii="Times New Roman" w:hAnsi="Times New Roman" w:cs="Times"/>
        </w:rPr>
        <w:footnoteReference w:id="313"/>
      </w:r>
      <w:r w:rsidRPr="00FB35F7">
        <w:rPr>
          <w:rFonts w:ascii="Times New Roman" w:hAnsi="Times New Roman" w:cs="Times"/>
        </w:rPr>
        <w:t xml:space="preserve"> de pensée ou d'action, qui s'impose uniformé</w:t>
      </w:r>
      <w:r w:rsidRPr="00FB35F7">
        <w:rPr>
          <w:rFonts w:ascii="Times New Roman" w:hAnsi="Times New Roman" w:cs="Times"/>
        </w:rPr>
        <w:softHyphen/>
        <w:t>ment aux volontés ou aux intelligences particulières, cette pression exercée sur l'individu décèle l'intervention de la collectivité. D'ailleurs, nous disions précédemment que les concepts avec lesquels nous pensons couramment sont ceux qui sont consignés dans le vocabulaire. Or il n'est pas douteux que le langage et, par conséquent, le système de concepts qu'il traduit, est le produit d'une élaboration collective. Ce qu'il exprime, c'est la manière dont la société dans son ensemble se représente les objets de l'expérience. Les notions qui correspondent aux divers éléments de la langue sont donc des représentations collectives.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Le contenu même de ces notions témoigne dans le même sens. Il n'est guère de mots, en effet, même parmi ceux que nous employons usuellement, dont l'acception ne dépasse plus ou moins largement les limites de notre expérience personnelle. Souvent un terme exprime des choses que nous n'avons jamais perçues, des expériences que nous n'avons jamais faites ou dont nous n'avons jamais été les témoins. Même quand nous connaissons quelques-uns des objets auxquels il se rapporte, ce n'est qu'à titre d'exemples particuliers qui viennent illustrer l'idée, mais qui, à eux seuls, n'auraient jamais suffi à la constituer. Dans le mot, se trouve donc condensée toute une science à laquelle je n'ai pas collaboré, une science plus qu'individuelle ; et elle me déborde à un tel point que je ne puis même pas m'en approprier complètement tous les résultats. Qui de nous connaît tous les mots de la langue qu'il parle et la signification intégrale de chaque mot ?</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Cette remarque permet de déterminer en quel sens nous entendons dire que les concepts sont des représentations collectives. S'ils sont communs à un groupe social tout entier, ce n'est pas qu'ils représentent une simple moyenne entre les représentations individuelles correspondantes ; car alors ils seraient plus pauvres que ces dernières en contenu intellectuel, tandis qu'en réalité ils sont gros d'un savoir qui dépasse celui de l'individu moyen. Ce sont, non des abstraits qui n'auraient de réalité que dans les consciences particulières, mais des représentations tout aussi concrètes que celles que l'individu peut se faire de son milieu personnel : elles correspondent à la manière dont cet être spécial qu'est la société pense les choses de son expérience propre. Si, en fait, les concepts sont le plus souvent des idées générales, s'ils expriment des catégories et des classes plutôt que des objets particuliers, c'est que les caractères singuliers et variables des êtres n'intéressent que rarement la société ; en raison même de son étendue, elle ne peut guère être affectée que par leurs propriétés générales et permanentes, C'est donc de ce côté que se porte son attention : il est dans sa nature de voir le plus souvent les choses par grandes masses et sous l'aspect qu'elles ont le plus généralement. Mais il n'y a pas à cela de nécessité; et, en tout cas, même quand ces représentations ont le caractère générique qui leur est le plus habituel, elles sont l’œuvre de la société, et elles sont riches de son expérience.</w:t>
      </w:r>
    </w:p>
    <w:p w:rsidR="003F2F8E" w:rsidRPr="00FB35F7" w:rsidRDefault="003F2F8E">
      <w:pPr>
        <w:tabs>
          <w:tab w:val="right" w:pos="9360"/>
        </w:tabs>
        <w:rPr>
          <w:rFonts w:ascii="Times New Roman" w:hAnsi="Times New Roman" w:cs="Times"/>
          <w:i/>
          <w:iCs/>
        </w:rPr>
      </w:pPr>
    </w:p>
    <w:p w:rsidR="003F2F8E" w:rsidRPr="00FB35F7" w:rsidRDefault="003F2F8E">
      <w:pPr>
        <w:jc w:val="both"/>
        <w:rPr>
          <w:rFonts w:ascii="Times New Roman" w:hAnsi="Times New Roman" w:cs="Times"/>
        </w:rPr>
      </w:pPr>
      <w:r w:rsidRPr="00FB35F7">
        <w:rPr>
          <w:rFonts w:ascii="Times New Roman" w:hAnsi="Times New Roman" w:cs="Times"/>
        </w:rPr>
        <w:t xml:space="preserve">C'est là, d'ailleurs, ce qui fait le prix que la pensée conceptuelle a pour nous. Si les concepts n'étaient que des idées générales, ils n'enrichiraient pas beaucoup la connaissance ; car le général, comme nous l'avons déjà dit, ne contient rien de plus que le particulier. Mais si ce sont, avant tout, des représentations collectives, ils ajoutent, à ce que peut nous apprendre notre expérience personnelle, tout ce que la collectivité a accumulé de sagesse et de science au cours des siècles. Penser par concepts, ce n'est pas simplement voir le réel par le côté le plus général ; c'est projeter sur la sensation une lumière qui l'éclaire, la pénètre et la transforme. Concevoir une chose, c'est en même temps qu'en mieux appréhender les éléments essentiels, la situer dans un ensemble ; car chaque civilisation a son système organisé de concepts qui la caractérise. En face de ce système de notions, l'esprit individuel est dans la même situation que le </w:t>
      </w:r>
      <w:r w:rsidRPr="00FB35F7">
        <w:rPr>
          <w:rFonts w:ascii="Times New Roman" w:hAnsi="Times New Roman" w:cs="Times"/>
          <w:i/>
          <w:iCs/>
        </w:rPr>
        <w:t>nous</w:t>
      </w:r>
      <w:r w:rsidRPr="00FB35F7">
        <w:rPr>
          <w:rFonts w:ascii="Times New Roman" w:hAnsi="Times New Roman" w:cs="Times"/>
        </w:rPr>
        <w:t xml:space="preserve"> de Platon en face du monde des Idées. Il s'efforce de se les assimiler, car il en a besoin pour pouvoir commercer avec ses semblables ; mais l'assimilation est toujours imparfaite. Chacun de nous les voit à sa façon. Il en est qui nous échappent complètement, qui restent en dehors de notre cercle de vision; d'autres, dont nous n'apercevons que certains aspects. Il en est même, et beaucoup, que nous dénaturons en les pensant ; car, comme elles sont collectives par nature, elles ne peuvent s'individualiser sans être retouchées, modifiées et, par conséquent, faussées. De là vient que nous avons tant de mal à nous entendre, que, souvent même, nous nous mentons, sans le vouloir, les uns aux autres : c'est que nous employons tous les mêmes mots sans leur donner tous le même sens.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peut maintenant entrevoir quelle est la part de la société dans la genèse de la pensée logique. Celle-ci n'est p</w:t>
      </w:r>
      <w:r>
        <w:rPr>
          <w:rFonts w:ascii="Times New Roman" w:hAnsi="Times New Roman" w:cs="Times"/>
        </w:rPr>
        <w:t>ossible qu'à partir du moment où</w:t>
      </w:r>
      <w:r w:rsidRPr="00FB35F7">
        <w:rPr>
          <w:rFonts w:ascii="Times New Roman" w:hAnsi="Times New Roman" w:cs="Times"/>
        </w:rPr>
        <w:t xml:space="preserve">, au-dessus des représentations fugitives qu'il doit à l'expérience sensible, l'homme est arrivé à concevoir tout un monde d'idéaux stables, lieu commun des intelligences. Penser logiquement, en effet, c'est toujours, en quelque mesure, penser d'une manière impersonnelle, c'est aussi penser </w:t>
      </w:r>
      <w:r w:rsidRPr="00FB35F7">
        <w:rPr>
          <w:rFonts w:ascii="Times New Roman" w:hAnsi="Times New Roman" w:cs="Times"/>
          <w:i/>
          <w:iCs/>
        </w:rPr>
        <w:t>sub</w:t>
      </w:r>
      <w:r w:rsidRPr="00FB35F7">
        <w:rPr>
          <w:rFonts w:ascii="Times New Roman" w:hAnsi="Times New Roman" w:cs="Times"/>
        </w:rPr>
        <w:t xml:space="preserve"> </w:t>
      </w:r>
      <w:r w:rsidRPr="00FB35F7">
        <w:rPr>
          <w:rFonts w:ascii="Times New Roman" w:hAnsi="Times New Roman" w:cs="Times"/>
          <w:i/>
          <w:iCs/>
        </w:rPr>
        <w:t xml:space="preserve">specie aeternitatis. </w:t>
      </w:r>
      <w:r w:rsidRPr="00FB35F7">
        <w:rPr>
          <w:rFonts w:ascii="Times New Roman" w:hAnsi="Times New Roman" w:cs="Times"/>
        </w:rPr>
        <w:t>Impersonnalité, stabilité, telles sont les deux caractéristiques de la vérité. Or la vie logique suppose évidemment que l'homme sait, tout au moins confusément, qu'il y a une vérité, distincte des apparences sensibles. Mais comment a-t-il pu parvenir à cette conception ? On raisonne le plus souvent comme si elle avait dû se présenter spontanément à lui dès qu'il ouvrit les yeux sur le monde. Cependant, il n'y a rien dans l'expérience immé</w:t>
      </w:r>
      <w:r w:rsidRPr="00FB35F7">
        <w:rPr>
          <w:rFonts w:ascii="Times New Roman" w:hAnsi="Times New Roman" w:cs="Times"/>
        </w:rPr>
        <w:softHyphen/>
        <w:t>diate qui puisse la suggérer; tout même la contredit. Aussi l'enfant et l'animal n'en ont-ils même pas le soupçon. L'histoire montre, d'ailleurs, qu'elle a mis des siècles à se dégager et à se constituer. Dans notre monde occidental, c'est avec les grands pen</w:t>
      </w:r>
      <w:r w:rsidRPr="00FB35F7">
        <w:rPr>
          <w:rFonts w:ascii="Times New Roman" w:hAnsi="Times New Roman" w:cs="Times"/>
        </w:rPr>
        <w:softHyphen/>
        <w:t>seurs de la Grèce qu'elle a pris, pour la première fois, une claire conscience d'elle-même et des conséquences qu'elle implique ; et, quand la découverte se fit, ce fut un émerveille</w:t>
      </w:r>
      <w:r w:rsidRPr="00FB35F7">
        <w:rPr>
          <w:rFonts w:ascii="Times New Roman" w:hAnsi="Times New Roman" w:cs="Times"/>
        </w:rPr>
        <w:softHyphen/>
        <w:t>ment, que Platon a traduit en un langage magnifique. Mais si c'est seulement à cette époque que l'idée s'est exprimée en formules philosophiques, elle préexistait nécessairement à l'état de sentiment obscur. Ce sentiment, les philosophes ont cherché à l'élucider; ils ne l'ont pas créé. Pour qu'ils pussent le réfléchir et l'analyser, il fallait qu'il leur fût donné et il s'agit de savoir d'où il venait, c'est-à-dire dans quelle expérience il était fondé. C'est dans l'expérience collective. C'est sous la forme de la pensée collective que la pensée impersonnelle s'est, pour la première fois, révélée à l'humanité ; et on ne voit pas par quelle autre voie aurait pu se faire cette révélation. Par cela seul que la société existe, il existe aussi, en dehors des sensations et des images individuelles, tout un système de représentations qui jouissent de propriétés merveilleuses. Par elles, les hommes se comprennent, les intelligences se pénètrent les unes les autres. Elles ont en elles une sorte de force, d'ascendant moral en vertu duquel elles s'imposent aux esprits particuliers. Dès lors l'individu se rend compte, au moins obscurément, qu'au-dessus de ses représentations privées il existe un monde de notions-types d'après lesquelles il est tenu de régler ses idées ; il entrevoit tout un règne intellectuel auquel il participe, mais qui le dépasse. C'est une première intuition du règne de la vérité. Sans doute, à partir du moment où il eut ainsi conscience de cette plus haute intellec</w:t>
      </w:r>
      <w:r w:rsidRPr="00FB35F7">
        <w:rPr>
          <w:rFonts w:ascii="Times New Roman" w:hAnsi="Times New Roman" w:cs="Times"/>
        </w:rPr>
        <w:softHyphen/>
        <w:t>tualité, il s'appliqua à en scruter la nature ; il chercha d'où ces représentations éminen</w:t>
      </w:r>
      <w:r w:rsidRPr="00FB35F7">
        <w:rPr>
          <w:rFonts w:ascii="Times New Roman" w:hAnsi="Times New Roman" w:cs="Times"/>
        </w:rPr>
        <w:softHyphen/>
        <w:t>tes tenaient leurs prérogatives et, dans la mesure où il crut en avoir découvert les causes, il entreprit de mettre lui-même ces causes en oeuvre pour en tirer, par ses propres forces, les effets qu'elles impliquent ; c'est-à-dire qu'il s'accorda à lui-même le droit de faire des con</w:t>
      </w:r>
      <w:r w:rsidRPr="00FB35F7">
        <w:rPr>
          <w:rFonts w:ascii="Times New Roman" w:hAnsi="Times New Roman" w:cs="Times"/>
        </w:rPr>
        <w:softHyphen/>
        <w:t>cepts. Ainsi, la faculté de concevoir s'individualisa. Mais, pour bien comprendre les origines de la fonction, il faut la rapporter aux conditions sociales dont elle dépend.</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On objectera que nous ne montrons le concept que par un de ses aspects, qu'il n'a pas uniquement pour rôle d'assurer l'accord des esprits les uns avec les autres, mais aussi, et plus encore, leur accord avec la nature des choses. Il semble qu'il n'ait toute sa raison d'être qu'à condition d'être vrai, c'est-à-dire objectif, et que son impersonnalité doive n'être qu'une conséquence de son objectivité. C'est dans les choses, pensées aussi adéquatement que possible, que les esprits devraient communier. Nous ne nions pas que l'évolution concep</w:t>
      </w:r>
      <w:r w:rsidRPr="00FB35F7">
        <w:rPr>
          <w:rFonts w:ascii="Times New Roman" w:hAnsi="Times New Roman" w:cs="Times"/>
        </w:rPr>
        <w:softHyphen/>
        <w:t>tuelle ne se fasse en partie dans ce sens. Le concept qui, primitivement, est tenu pour vrai parce qu'il est collectif tend à ne devenir collectif qu'à condition d'être tenu pour vrai : nous lui demandons ses titres avant de lui accorder notre créance. Mais tout d'abord, il ne faut pas perdre de vue qu'aujourd'hui encore la très grande généralité des concepts dont nous nous servons ne sont pas méthodiquement constitués ; nous les tenons du langage, c'est-à-dire de l'expérience commune, sans qu'ils aient été soumis à aucune critique préalable. Les concepts scientifiquement élaborés et critiqués sont toujours en très faible minorité. De plus, entre eux et ceux qui tirent toute leur autorité de cela seul qu'ils sont collectifs, il n'y a que des différences de degrés. Une représentation collective, parce qu'elle est collective, présente déjà des garanties d'objectivité ; car ce n'est pas sans raison qu'elle a pu se généraliser et se maintenir avec une suffisante persistance. Si elle était en désaccord avec la nature des choses, elle n'aurait pu acquérir un empire étendu et prolongé sur les esprits. Au fond, ce qui fait la confiance qu'inspirent les concepts scientifiques, c'est qu'ils sont susceptibles d'être méthodiquement contrôlés. Or, une représentation collective est nécessairement soumise à un contrôle indéfiniment répété : les hommes qui y adhèrent la vérifient par leur expérience propre. Elle ne saurait donc être complètement inadéquate à son objet. Elle peut l'exprimer, sans doute, à l'aide de symboles imparfaits ; mais les symboles scientifiques eux-mêmes ne sont jamais qu'approchés. C'est précisément ce principe qui est à la base de la méthode que nous suivons dans l'étude des phénomènes religieux : nous regardons comme un axiome que les croyances religieuses, si étranges qu'elles soient parfois en apparence, ont leur vérité qu'il faut découvrir </w:t>
      </w:r>
      <w:r w:rsidRPr="00FB35F7">
        <w:rPr>
          <w:rStyle w:val="Rimandonotaapidipagina"/>
          <w:rFonts w:ascii="Times New Roman" w:hAnsi="Times New Roman" w:cs="Times"/>
        </w:rPr>
        <w:footnoteReference w:id="314"/>
      </w:r>
      <w:r w:rsidRPr="00FB35F7">
        <w:rPr>
          <w:rFonts w:ascii="Times New Roman" w:hAnsi="Times New Roman" w:cs="Times"/>
        </w:rPr>
        <w:t>.</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Inversement, il s'en faut que les concepts, même quand ils sont construits suivant toutes les règles de la science, tirent uniquement leur autorité de leur valeur objective. Il ne suffit pas qu'ils soient vrais pour être crus. S'ils ne sont pas en harmonie avec les autres croyances, les autres opinions, en un mot avec l'ensemble des représentations collectives, ils seront niés ; les esprits leur seront fermés ; ils seront, par suite, comme s'ils n'étaient pas. Si, aujourd'hui, il suffit en général qu'ils portent l'estampille de la science pour rencontrer une sorte de crédit privilégié, c'est que nous avons foi dans la science. Mais cette foi ne diffère pas essentielle</w:t>
      </w:r>
      <w:r w:rsidRPr="00FB35F7">
        <w:rPr>
          <w:rFonts w:ascii="Times New Roman" w:hAnsi="Times New Roman" w:cs="Times"/>
        </w:rPr>
        <w:softHyphen/>
        <w:t>ment de la foi religieuse. La valeur que nous attribuons à la science dépend en somme de l'idée que nous nous faisons collectivement de sa nature et de son rôle dans la vie; c'est dire qu'elle exprime un état d'opinion. C'est qu'en effet, tout dans la vie sociale, la science elle-même, repose sur l'opinion. Sans doute, on peut prendre l'opinion comme objet d'étude et en faire la science ; c'est en cela que consiste principalement la sociologie. Mais la science de l'opinion ne fait pas l'opinion; elle ne peut que l'éclairer, la rendre plus consciente de soi. Par là, il est vrai, elle peut l'amener à changer ; mais la science continue à dépendre de l'opinion au moment où elle paraît lui faire la loi; car, comme nous l'avons montré, c'est de l'opinion qu'elle tient la force nécessaire pour agir sur l'opinion </w:t>
      </w:r>
      <w:r w:rsidRPr="00FB35F7">
        <w:rPr>
          <w:rStyle w:val="Rimandonotaapidipagina"/>
          <w:rFonts w:ascii="Times New Roman" w:hAnsi="Times New Roman" w:cs="Times"/>
        </w:rPr>
        <w:footnoteReference w:id="315"/>
      </w:r>
      <w:r w:rsidRPr="00FB35F7">
        <w:rPr>
          <w:rFonts w:ascii="Times New Roman" w:hAnsi="Times New Roman" w:cs="Times"/>
        </w:rPr>
        <w:t>.</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Dire que les concepts expriment la manière dont la société se représente les choses, c'est dire aussi que la pensée conceptuelle est contemporaine de l'humanité. Nous nous refusons donc à y voir le produit d'une culture plus on moins tardive. Un homme qui ne penserait pas par concepts ne serait pas un homme ; car ce ne serait pas un être social. Réduit aux seuls percepts individuels, il serait indistinct de l'animal. Si la thèse contraire a pu être soutenue, c'est qu'on a défini le concept par des caractères qui ne lui sont pas essentiels. On l'a identifié avec l'idée générale </w:t>
      </w:r>
      <w:r w:rsidRPr="00FB35F7">
        <w:rPr>
          <w:rStyle w:val="Rimandonotaapidipagina"/>
          <w:rFonts w:ascii="Times New Roman" w:hAnsi="Times New Roman" w:cs="Times"/>
        </w:rPr>
        <w:footnoteReference w:id="316"/>
      </w:r>
      <w:r w:rsidRPr="00FB35F7">
        <w:rPr>
          <w:rFonts w:ascii="Times New Roman" w:hAnsi="Times New Roman" w:cs="Times"/>
        </w:rPr>
        <w:t xml:space="preserve"> et avec une idée générale nettement délimitée et circonscrite </w:t>
      </w:r>
      <w:r w:rsidRPr="00FB35F7">
        <w:rPr>
          <w:rStyle w:val="Rimandonotaapidipagina"/>
          <w:rFonts w:ascii="Times New Roman" w:hAnsi="Times New Roman" w:cs="Times"/>
        </w:rPr>
        <w:footnoteReference w:id="317"/>
      </w:r>
      <w:r w:rsidRPr="00FB35F7">
        <w:rPr>
          <w:rFonts w:ascii="Times New Roman" w:hAnsi="Times New Roman" w:cs="Times"/>
        </w:rPr>
        <w:t>. Dans ces conditions, il a pu sembler que les sociétés inférieures ne connaissent pas le concept proprement dit : car elles n'ont que des procédés de généralisation rudimentaires et les notions dont elles se servent ne sont généralement pas définies. Mais la plupart de nos concepts actuels ont la même indétermination ; nous ne nous astreignons guère à les définir que dans les discussions et quand nous faisons oeuvre de savants. D'un autre côté, nous avons vu que concevoir n'est pas généraliser. Penser conceptuellement, ce n'est pas simplement isoler et grouper ensemble les caractères communs à un certain nombre d'objets ; c'est subsumer le variable sous le permanent, l'individuel sous le social. Et puisque la pensée logi</w:t>
      </w:r>
      <w:r w:rsidRPr="00FB35F7">
        <w:rPr>
          <w:rFonts w:ascii="Times New Roman" w:hAnsi="Times New Roman" w:cs="Times"/>
        </w:rPr>
        <w:softHyphen/>
        <w:t>que commence avec le concept, il suit qu'elle a toujours existé ; il n'y a pas eu de période historique pendant laquelle les hommes auraient vécu, d'une manière chronique, dans la confusion et la contradiction. Certes, on ne saurait trop insister sur les caractères différentiels que présente la logique aux divers moments de l'histoire; elle évolue comme les sociétés elles-mêmes. Mais si réelles que soient les différences, elles ne doivent pas faire méconnaître les similitudes qui ne sont pas moins essentielles.</w:t>
      </w:r>
    </w:p>
    <w:p w:rsidR="003F2F8E" w:rsidRPr="00FB35F7" w:rsidRDefault="003F2F8E">
      <w:pPr>
        <w:rPr>
          <w:rFonts w:ascii="Times New Roman" w:hAnsi="Times New Roman" w:cs="Times"/>
        </w:rPr>
      </w:pPr>
    </w:p>
    <w:p w:rsidR="003F2F8E" w:rsidRPr="00FB35F7" w:rsidRDefault="003F2F8E">
      <w:pPr>
        <w:rPr>
          <w:rFonts w:ascii="Times New Roman" w:hAnsi="Times New Roman" w:cs="Times"/>
        </w:rPr>
      </w:pPr>
    </w:p>
    <w:p w:rsidR="003F2F8E" w:rsidRPr="00FB35F7" w:rsidRDefault="003F2F8E">
      <w:pPr>
        <w:rPr>
          <w:rFonts w:ascii="Times New Roman" w:hAnsi="Times New Roman" w:cs="Times"/>
        </w:rPr>
      </w:pPr>
    </w:p>
    <w:p w:rsidR="003F2F8E" w:rsidRPr="00FB35F7" w:rsidRDefault="003F2F8E">
      <w:pPr>
        <w:pStyle w:val="section"/>
        <w:rPr>
          <w:rFonts w:ascii="Times New Roman" w:hAnsi="Times New Roman"/>
        </w:rPr>
      </w:pPr>
      <w:bookmarkStart w:id="35" w:name="conclusion_4"/>
      <w:r w:rsidRPr="00FB35F7">
        <w:rPr>
          <w:rFonts w:ascii="Times New Roman" w:hAnsi="Times New Roman"/>
        </w:rPr>
        <w:t>IV</w:t>
      </w:r>
    </w:p>
    <w:bookmarkEnd w:id="35"/>
    <w:p w:rsidR="003F2F8E" w:rsidRPr="00FB35F7" w:rsidRDefault="003F2F8E">
      <w:pPr>
        <w:tabs>
          <w:tab w:val="right" w:pos="9360"/>
        </w:tabs>
        <w:rPr>
          <w:rFonts w:ascii="Times New Roman" w:hAnsi="Times New Roman" w:cs="Times"/>
        </w:rPr>
      </w:pPr>
    </w:p>
    <w:p w:rsidR="003F2F8E" w:rsidRPr="00FB35F7" w:rsidRDefault="003F2F8E">
      <w:pPr>
        <w:ind w:firstLine="0"/>
        <w:jc w:val="both"/>
        <w:rPr>
          <w:rFonts w:ascii="Times New Roman" w:hAnsi="Times New Roman" w:cs="Times"/>
          <w:sz w:val="20"/>
          <w:szCs w:val="20"/>
          <w:effect w:val="none"/>
        </w:rPr>
      </w:pPr>
      <w:hyperlink w:anchor="tdm_livre_III" w:history="1">
        <w:r w:rsidRPr="00FB35F7">
          <w:rPr>
            <w:rStyle w:val="Collegamentoipertestuale"/>
            <w:rFonts w:ascii="Times New Roman" w:hAnsi="Times New Roman" w:cs="Times"/>
            <w:sz w:val="20"/>
            <w:szCs w:val="20"/>
            <w:effect w:val="none"/>
          </w:rPr>
          <w:t xml:space="preserve">.  </w:t>
        </w:r>
        <w:r w:rsidRPr="00FB35F7">
          <w:rPr>
            <w:rStyle w:val="Collegamentoipertestuale"/>
            <w:rFonts w:ascii="Times New Roman" w:hAnsi="Times New Roman" w:cs="Times"/>
            <w:sz w:val="20"/>
            <w:szCs w:val="20"/>
            <w:effect w:val="none"/>
          </w:rPr>
          <w:sym w:font="Wingdings" w:char="F0DF"/>
        </w:r>
      </w:hyperlink>
    </w:p>
    <w:p w:rsidR="003F2F8E" w:rsidRPr="00FB35F7" w:rsidRDefault="003F2F8E">
      <w:pPr>
        <w:tabs>
          <w:tab w:val="right" w:pos="9360"/>
        </w:tabs>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Nous pouvons maintenant aborder une dernière question que posait déjà notre intro</w:t>
      </w:r>
      <w:r w:rsidRPr="00FB35F7">
        <w:rPr>
          <w:rFonts w:ascii="Times New Roman" w:hAnsi="Times New Roman" w:cs="Times"/>
        </w:rPr>
        <w:softHyphen/>
        <w:t>duction </w:t>
      </w:r>
      <w:r w:rsidRPr="00FB35F7">
        <w:rPr>
          <w:rStyle w:val="Rimandonotaapidipagina"/>
          <w:rFonts w:ascii="Times New Roman" w:hAnsi="Times New Roman" w:cs="Times"/>
        </w:rPr>
        <w:footnoteReference w:id="318"/>
      </w:r>
      <w:r w:rsidRPr="00FB35F7">
        <w:rPr>
          <w:rFonts w:ascii="Times New Roman" w:hAnsi="Times New Roman" w:cs="Times"/>
        </w:rPr>
        <w:t xml:space="preserve"> et qui est restée comme sous-entendue dans toute la suite de cet ouvrage. Nous avons vu que certaines, tout au moins, des catégories, sont choses sociales, Il s'agit de savoir d'où leur vient ce caractère.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Sans doute, puisqu'elles sont elles-mêmes des concepts, on comprend sans peine qu'elles soient l’œuvre de la collectivité. Il n'est même pas de concepts qui présentent au même degré les signes auxquels se reconnaît une représentation collective. En effet, leur stabilité et leur impersonnalité sont telles qu'elles ont souvent passé pour être absolument universelles et immuables. D'ailleurs, comme elles expriment les conditions fondamentales de l'entente entre les esprits, il paraît évident qu'elles n'ont pu être élaborées que par la société.</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Mais, en ce qui les concerne, le problème est plus complexe : car elles sont sociales en un autre sens et comme au second degré. Non seulement elles viennent de la société, mais les choses mêmes qu'elles expriment sont sociales. Non seulement c'est la société qui les a instituées, mais ce sont des aspects différents de l'être social qui leur servent de contenu : la catégorie de genre a commencé par être indistincte du concept de groupe humain; c'est le rythme de la vie sociale qui est à la base de la catégorie de temps ; c'est l'espace occupé par la société qui a fourni la matière de la catégorie d'espace ; c'est la force collective qui a été le prototype du concept de force efficace, élément essentiel de la catégorie de causalité. Cepen</w:t>
      </w:r>
      <w:r w:rsidRPr="00FB35F7">
        <w:rPr>
          <w:rFonts w:ascii="Times New Roman" w:hAnsi="Times New Roman" w:cs="Times"/>
        </w:rPr>
        <w:softHyphen/>
        <w:t>dant, les catégories ne sont pas faites pour s'appliquer uniquement au règne social; elles s'étendent à la réalité tout entière. Comment donc est-ce à la société qu'ont été empruntés les modèles sur lesquels elles ont été construites.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C'est que ce sont des concepts éminents qui jouent dans la connaissance un rôle prépon</w:t>
      </w:r>
      <w:r w:rsidRPr="00FB35F7">
        <w:rPr>
          <w:rFonts w:ascii="Times New Roman" w:hAnsi="Times New Roman" w:cs="Times"/>
        </w:rPr>
        <w:softHyphen/>
        <w:t>dérant. Les catégories ont, en effet, pour fonction de dominer et d'envelopper tous les autres concepts : ce sont les cadres permanents de la vie mentale. Or, pour qu'elles puissent embrasser un tel objet, il faut qu'elles se soient formées sur une réalité d'une égale ampleur.</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Sans doute, les relations qu'elles expriment existent, d'une manière implicite, dans les consciences individuelles. L'individu vit dans le temps et il a, comme nous l'avons dit, un certain sens de l'orientation temporelle. Il est situé à un point déterminé de l'espace et on a pu soutenir, avec de bonnes raisons, que toutes ses sensations ont quelque chose de spatial </w:t>
      </w:r>
      <w:r w:rsidRPr="00FB35F7">
        <w:rPr>
          <w:rStyle w:val="Rimandonotaapidipagina"/>
          <w:rFonts w:ascii="Times New Roman" w:hAnsi="Times New Roman" w:cs="Times"/>
        </w:rPr>
        <w:footnoteReference w:id="319"/>
      </w:r>
      <w:r w:rsidRPr="00FB35F7">
        <w:rPr>
          <w:rFonts w:ascii="Times New Roman" w:hAnsi="Times New Roman" w:cs="Times"/>
        </w:rPr>
        <w:t>. Il a le sentiment des ressemblances ; en lui, les représentations similaires s'appellent, se rappro</w:t>
      </w:r>
      <w:r w:rsidRPr="00FB35F7">
        <w:rPr>
          <w:rFonts w:ascii="Times New Roman" w:hAnsi="Times New Roman" w:cs="Times"/>
        </w:rPr>
        <w:softHyphen/>
        <w:t>chent et la représentation nouvelle, formée par leur rapprochement, a déjà quelque caractère générique. Nous avons également la sensation d'une certaine régularité dans l'ordre de succession des phénomènes; l'animal lui-même n'en est pas incapable. Seulement, toutes ces relations sont personnelles à l'individu qui y est engagé et, par suite, la notion qu'il en peut acquérir ne peut, en aucun cas, s'étendre au delà de son étroit horizon. Les images génériques qui se forment dans ma conscience par la fusion d'images similaires ne représentent que les objets que j'ai direc</w:t>
      </w:r>
      <w:r w:rsidRPr="00FB35F7">
        <w:rPr>
          <w:rFonts w:ascii="Times New Roman" w:hAnsi="Times New Roman" w:cs="Times"/>
        </w:rPr>
        <w:softHyphen/>
        <w:t>tement perçus ; il n'y a rien là qui puisse me donner l'idée d'une classe, c'est-à-dire d'un cadre capable de comprendre le groupe total de tous les objets possibles qui satisfont à la même condition. Encore faudrait-il avoir au préalable l'idée de groupe, que le seul spectacle de notre vie intérieure ne saurait suffire à éveiller en nous. Mais surtout il n'y a pas d'expérience individuelle, si étendue et si prolongée soit-elle, qui puisse nous faire même soupçonner l'existence d'un genre total, qui embrasserait l'universalité des êtres, et dont les autres genres ne seraient que des espèces coordonnées entre elles ou subordonnées les unes aux autres. Cette notion du tout, qui est à la base des classifications que nous avons rapportées, ne peut nous venir de l'individu qui n'est lui-même qu'une partie par rapport au tout et qui n'atteint jamais qu'une fraction infime de la réalité. Et pourtant, il n'est peut-être pas de catégorie plus essentielle ; car comme le rôle des catégories est d'envelopper tous les autres concepts, la catégorie par excellence paraît bien devoir être le concept même de totalité. Les théoriciens de la connaissance le postulent d'ordinaire comme s'il allait de soi, alors qu'il dépasse infiniment le contenu de chaque conscience individuelle prise à part.</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Pour les mêmes raisons, l'espace que je connais par mes sens, dont je suis le centre et où tout est disposé par rapport à moi ne saurait être l'espace total, qui contient toutes les étendues particulières, et où, de plus, elles sont coordonnées par rapport à des points de repère impersonnels, communs à tous les individus. De même, la durée concrète que je sens s'écouler en moi et avec moi ne saurait me donner l'idée du temps total : la première n'exprime que le rythme de ma vie individuelle ; le second doit correspondre au rythme d'une vie qui n'est celle d'aucun individu en particulier, mais à laquelle tous parti</w:t>
      </w:r>
      <w:r w:rsidRPr="00FB35F7">
        <w:rPr>
          <w:rFonts w:ascii="Times New Roman" w:hAnsi="Times New Roman" w:cs="Times"/>
        </w:rPr>
        <w:softHyphen/>
        <w:t>cipent </w:t>
      </w:r>
      <w:r w:rsidRPr="00FB35F7">
        <w:rPr>
          <w:rStyle w:val="Rimandonotaapidipagina"/>
          <w:rFonts w:ascii="Times New Roman" w:hAnsi="Times New Roman" w:cs="Times"/>
        </w:rPr>
        <w:footnoteReference w:id="320"/>
      </w:r>
      <w:r w:rsidRPr="00FB35F7">
        <w:rPr>
          <w:rFonts w:ascii="Times New Roman" w:hAnsi="Times New Roman" w:cs="Times"/>
        </w:rPr>
        <w:t>. De même, enfin, les régularités que je puis percevoir dans la manière dont mes sensations se succèdent peuvent bien avoir de la valeur pour moi; elles expliquent comment, quand l'antécédent d'un couple de phénomènes dont j'ai expérimenté la constance m'est donné, je tends à attendre le conséquent. Mais cet état d'attente personnel ne saurait être confondu avec la conception d'un ordre universel de succession que s'impose à la totalité des esprits et des événements.</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Puisque le monde qu'exprime le système total des concepts est celui que se représente la société, la société seule peut nous fournir les notions les plus générales suivant lesquelles il doit être représenté. Seul, un sujet, qui enveloppe tous les sujets particuliers est capable d'embrasser un tel objet. Puisque l'univers n'existe qu'autant qu'il est pensé et puisqu'il n'est pensé totalement que par la société, il prend place en elle ; il devient un élément de sa vie intérieure, et ainsi elle est elle-même le genre total en dehors duquel il n'existe rien. Le concept de totalité n'est que la forme abstraite du concept de société : elle est le tout qui comprend toutes choses, la classe suprême qui renferme toutes les autres classes. Tel est le principe profond sur lequel reposent ces classifications primitives où les êtres de tous les règnes sont situés et classés dans les cadres sociaux au même titre que les hommes </w:t>
      </w:r>
      <w:r w:rsidRPr="00FB35F7">
        <w:rPr>
          <w:rStyle w:val="Rimandonotaapidipagina"/>
          <w:rFonts w:ascii="Times New Roman" w:hAnsi="Times New Roman" w:cs="Times"/>
        </w:rPr>
        <w:footnoteReference w:id="321"/>
      </w:r>
      <w:r w:rsidRPr="00FB35F7">
        <w:rPr>
          <w:rFonts w:ascii="Times New Roman" w:hAnsi="Times New Roman" w:cs="Times"/>
        </w:rPr>
        <w:t>. Mais si le monde est dans la société, l'espace qu'elle occupe se confond avec l'espace total. Nous avons vu, en effet, comment chaque chose a sa place assignée sur l'espace social; et ce qui montre bien à quel point cet espace total diffère des étendues concrètes que nous font percevoir les sens, c'est que cette localisation est tout idéale et ne ressemble en rien à ce qu'elle serait si elle ne nous était dictée que par l'expérience sensible </w:t>
      </w:r>
      <w:r w:rsidRPr="00FB35F7">
        <w:rPr>
          <w:rStyle w:val="Rimandonotaapidipagina"/>
          <w:rFonts w:ascii="Times New Roman" w:hAnsi="Times New Roman" w:cs="Times"/>
        </w:rPr>
        <w:footnoteReference w:id="322"/>
      </w:r>
      <w:r w:rsidRPr="00FB35F7">
        <w:rPr>
          <w:rFonts w:ascii="Times New Roman" w:hAnsi="Times New Roman" w:cs="Times"/>
        </w:rPr>
        <w:t>. Pour la même raison, le rythme de la vie collective domine et embrasse les rythmes variés de toutes les vies élémentaires dont il résulte ; par suite, le temps qui l'exprime domine et embrasse toutes les durées particulières. C'est le temps total. L'histoire du monde n'a été pendant longtemps qu'un autre aspect de l'histoire de la société. L'une commence avec l'autre ; les périodes de la première sont déter</w:t>
      </w:r>
      <w:r w:rsidRPr="00FB35F7">
        <w:rPr>
          <w:rFonts w:ascii="Times New Roman" w:hAnsi="Times New Roman" w:cs="Times"/>
        </w:rPr>
        <w:softHyphen/>
        <w:t>minées par les périodes de la seconde. Ce qui mesure cette durée imper</w:t>
      </w:r>
      <w:r w:rsidRPr="00FB35F7">
        <w:rPr>
          <w:rFonts w:ascii="Times New Roman" w:hAnsi="Times New Roman" w:cs="Times"/>
        </w:rPr>
        <w:softHyphen/>
        <w:t>sonnelle et globale, ce qui fixe les points de repère par rapport auxquels elle est divisée et organisée, ce sont les mouvements de concentration ou de dispersion de la société ; plus généralement, ce sont les nécessités périodiques de la réfection collective. Si ces instants critiques se rattachent le plus souvent à quelque phénomène matériel, comme la récurrence régulière de tel astre ou l'alternance des saisons, c'est parce que des signes objectifs sont nécessaires pour rendre sensible à tous cette organisation essentiellement sociale. De même, enfin, la relation causale, du moment où elle est posée collectivement par le groupe, se trouve indépendante de toute conscience individuelle ; elle plane au-dessus de tous les esprits et de tous les événements particuliers, C'est une loi d'une valeur impersonnelle. Nous avons montré que c'est bien ainsi qu'elle paraît avoir pris naissance.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Une autre raison explique que les éléments constitutifs des catégories aient dû être empruntés à la vie sociale : c'est que les relations qu'elles expriment ne pouvaient devenir conscientes que dans et par la société. Si, en un sens, elles sont immanentes à la vie de l'individu, celui-ci n'avait aucune raison ni aucun moyen de les appréhender, de les réfléchir, de les expliciter et de les ériger en notions distinctes. Pour s'orienter personnellement dans l'étendue, pour savoir à quels moments il devait satisfaire aux différentes nécessités organi</w:t>
      </w:r>
      <w:r w:rsidRPr="00FB35F7">
        <w:rPr>
          <w:rFonts w:ascii="Times New Roman" w:hAnsi="Times New Roman" w:cs="Times"/>
        </w:rPr>
        <w:softHyphen/>
        <w:t>ques, il n'avait nul besoin de se faire, une fois pour toutes, une représentation conceptuelle du temps ou de l'espace. Bien des animaux savent retrouver le chemin qui les mène aux endroits qui leur sont familiers; ils y reviennent au moment convenable, sans qu'ils aient pourtant aucune catégorie ; des sensations suffisent à les diriger automatiquement. Elles suffiraient également à l'homme si ses mouvements n'avaient à satisfaire qu'à des besoins individuels. Pour reconnaître qu'une chose ressemble à d'autres dont nous avons déjà l'expérience, il n'est nullement nécessaire que nous rangions les unes et les autres en genres et en espèces : la manière dont les images semblables s'appellent et fusionnent suffit à donner le sentiment de la ressemblance. L'impression du déjà vu, du déjà éprouvé, n'implique aucune classification. Pour discerner les choses que nous devons rechercher de celles que nous devons fuir, nous n'avons que faire de rattacher les effets des unes et des autres à leurs causes par un lien logique, lorsque des convenances individuelles sont seules en jeu. Des consécutions purement empiriques, de fortes connexions entre des représentations concrètes sont, pour la volonté, des guides tout aussi sûrs. Non seulement l'animal n'en a pas d'autres, mais très souvent notre pratique privée ne suppose rien de plus. L'homme avisé est celui qui a, de ce qu'il faut faire, une sensation très nette, mais qu'il serait, le plus souvent, incapable de traduire en loi.</w:t>
      </w:r>
    </w:p>
    <w:p w:rsidR="003F2F8E" w:rsidRPr="00FB35F7" w:rsidRDefault="003F2F8E">
      <w:pPr>
        <w:rPr>
          <w:rFonts w:ascii="Times New Roman" w:hAnsi="Times New Roman" w:cs="Times"/>
        </w:rPr>
      </w:pPr>
    </w:p>
    <w:p w:rsidR="003F2F8E" w:rsidRPr="00FB35F7" w:rsidRDefault="003F2F8E">
      <w:pPr>
        <w:tabs>
          <w:tab w:val="right" w:pos="9360"/>
        </w:tabs>
        <w:jc w:val="both"/>
        <w:rPr>
          <w:rFonts w:ascii="Times New Roman" w:hAnsi="Times New Roman" w:cs="Times"/>
        </w:rPr>
      </w:pPr>
      <w:r w:rsidRPr="00FB35F7">
        <w:rPr>
          <w:rFonts w:ascii="Times New Roman" w:hAnsi="Times New Roman" w:cs="Times"/>
        </w:rPr>
        <w:t>Il en est autrement de la société. Celle-ci n'est possible que si les individus et les choses qui la composent sont répartis entre différents groupes, c'est-à-dire classés, et si ces groupes eux-mêmes sont classés les uns par rapport aux autres. La société suppose donc une organisation consciente de soi qui n'est autre chose qu'une classification. Cette organisation de la société se communique naturellement à l'espace qu'elle occupe. Pour prévenir tout heurt, il faut que à chaque groupe particulier, une portion déterminée d'espace soit affectée : en d'autres termes, il faut que l'espace total soit divisé, différencié, orienté, et que ces divisions et ces orientations soient connues de tous les esprits. D'autre part, toute convocation à une fête, à une chasse, à une expédition militaire implique que des dates sont fixées, convenues et, par conséquent, qu'un temps commun est établi que tout le monde conçoit de la même façon. Enfin, le concours de plusieurs en vue de poursuivre une fin commune n'est possible que si l'on s'entend sur le rapport qui existe entre cette fin et les moyens qui permettent de l'atteindre, c'est-à-dire si une même relation causale est admise par tous les coopérateurs de la même entreprise. Il n'est donc pas étonnant que le temps social, l'espace social, les classes sociales, la causalité collective soient à la base des caté</w:t>
      </w:r>
      <w:r w:rsidRPr="00FB35F7">
        <w:rPr>
          <w:rFonts w:ascii="Times New Roman" w:hAnsi="Times New Roman" w:cs="Times"/>
        </w:rPr>
        <w:softHyphen/>
        <w:t>gories correspon</w:t>
      </w:r>
      <w:r w:rsidRPr="00FB35F7">
        <w:rPr>
          <w:rFonts w:ascii="Times New Roman" w:hAnsi="Times New Roman" w:cs="Times"/>
        </w:rPr>
        <w:softHyphen/>
        <w:t>dantes, puisque c'est sous leurs formes sociales que des différentes relations ont, pour la première fois, été appréhendées avec une certaine clarté par la conscience humaine.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En résumé, la société n'est nullement l'être illogique ou alogique, incohérent et fantasque qu'on se plaît trop souvent à voir en elle. Tout au contraire, la conscience collective est la forme la plus haute de la vie psychique, puisque c'est une conscience de consciences. Placée en dehors et au-dessus des contingences individuelles et locales, elle ne voit les choses que par leur aspect permanent et essentiel qu'elle fixe en des notions communicables. En même temps qu'elle voit de haut, elle voit au loin; à chaque moment du temps, elle embrasse toute la réalité connue ; c'est pourquoi elle seule peut fournir à l'esprit des cadres qui s'appliquent à la totalité des êtres et qui permettent de les penser. Ces cadres, elle ne les crée pas artifi</w:t>
      </w:r>
      <w:r w:rsidRPr="00FB35F7">
        <w:rPr>
          <w:rFonts w:ascii="Times New Roman" w:hAnsi="Times New Roman" w:cs="Times"/>
        </w:rPr>
        <w:softHyphen/>
        <w:t>ciellement ; elle les trouve en elle ; elle ne fait qu'en prendre conscience. Ils traduisent des manières d'être qui se rencontrent à tous les degrés du réel, mais qui n'apparaissent en pleine clarté qu'au sommet, parce que l'extrême complexité de la vie psychique qui s'y déroule nécessite un plus grand développement de la conscience. Attribuer à la pensée logique des origines sociales, ce n'est donc pas la rabaisser, en diminuer la valeur, la réduire à n'être qu'un système de combinai</w:t>
      </w:r>
      <w:r w:rsidRPr="00FB35F7">
        <w:rPr>
          <w:rFonts w:ascii="Times New Roman" w:hAnsi="Times New Roman" w:cs="Times"/>
        </w:rPr>
        <w:softHyphen/>
        <w:t>sons artificielles ; c'est, au contraire, la rapporter à une cause qui l'implique naturellement. Ce n'est pas à dire assurément que des notions élaborées de cette manière puissent se trouver immédiatement adéquates à leurs objets. Si la société est quelque chose d'universel par rapport à l'individu, elle ne laisse pas d'être elle-même une individualité qui a sa physionomie personnelle, son idiosyncrasie ; c'est un sujet particulier et qui, par suite, particularise ce qu'il pense. Les représentations collectives contiennent donc, elles aussi, des éléments subjectifs et il est nécessaire qu'elles soient progressivement épurées pour devenir plus proches des choses. Mais, si grossières qu'elles puissent être à l'origine, il reste qu'avec elles le germe d'une mentalité nouvelle était donné à laquelle l'individu n'aurait jamais pu s'élever par ses seules forces : dès lors, la voie était ouverte à la pensée stable, impersonnelle et organisée qui n'avait plus ensuite qu'à développer sa nature.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D'ailleurs, les causes qui ont déterminé ce développement semblent bien ne pas différer spécifiquement de celles qui en sont suscité le germe initial. Si la pensée logique tend de plus en plus à se débarrasser des éléments subjectifs et personnels qu'elle charrie encore à l'origine, ce n'est pas parce que des facteurs extra-sociaux sont intervenus; c'est beaucoup plutôt parce qu'une vie sociale d'un genre nouveau s'est de plus en plus développée. Il s'agit de cette vie internationale qui a déjà pour effet d'universaliser les croyances religieuses. A mesure qu'elle s'étend, l'horizon collectif s'élargit; la société cesse d'apparaître comme le tout par excellence, pour devenir la partie d'un tout beaucoup plus vaste, aux frontières indéterminées et susceptibles de reculer indéfiniment. Par suite, les choses ne peuvent plus tenir dans les cadres sociaux où elles étaient primitivement classées ; elles demandent à être orga</w:t>
      </w:r>
      <w:r w:rsidRPr="00FB35F7">
        <w:rPr>
          <w:rFonts w:ascii="Times New Roman" w:hAnsi="Times New Roman" w:cs="Times"/>
        </w:rPr>
        <w:softHyphen/>
        <w:t>nisées d'après des principes qui leur soient propres et, ainsi, l'organisation logique se différencie de l'organisation sociale et devient autonome. Voila, semble-t-il, comment le lien qui rattachait tout d'abord la pensée à des individualités collectives déterminées va de plus en plus en se détachant ; comment, par suite, elle devient toujours impersonnelle et s'universa</w:t>
      </w:r>
      <w:r w:rsidRPr="00FB35F7">
        <w:rPr>
          <w:rFonts w:ascii="Times New Roman" w:hAnsi="Times New Roman" w:cs="Times"/>
        </w:rPr>
        <w:softHyphen/>
        <w:t>lise. La pensée vraiment et proprement humaine n'est pas une donnée primitive ; c'est un produit de l'histoire ; c'est une limite idéale dont nous nous rapprochons toujours davantage, mais que, selon toute vraisemblance, nous ne parviendrons jamais à atteindre.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Ainsi, bien loin qu'il y ait entre la science d'une part, la morale et la religion de l'autre, l'espèce d'antinomie qu'on a si souvent admise, ces différents modes de l'activité humaine dérivent, en réalité, d'une seule et même source. C'est ce qu'avait bien compris Kant, et c'est pourquoi il a fait de la raison spéculative et de la raison pratique deux aspects différents de la même faculté. Ce qui, suivant lui, fait leur unité, c'est qu'elles sont toutes deux orientées vers l'universel. Penser rationnellement, c'est penser suivant des lois qui s'imposent à l'universalité des êtres raisonnables ; agir moralement, c'est se conduire suivant des maximes qui puissent, sans contradictions, être étendues à l'universalité des volontés. En d'autres termes, la science et la morale impliquent que l'individu est capable de s'élever au-dessus de son point de vue propre et de vivre d'une vie impersonnelle. Et il n'est pas douteux, en effet, que ce ne soit là un trait commun à toutes les formes supérieures de la pensée et de l'action. Seulement, ce que le kantisme n'explique pas, c'est d'où vient l'espèce de contradiction que l'homme se trouve ainsi réaliser. Pourquoi est-il contraint de se faire violence pour dépasser sa nature d'individu, et inversement, pourquoi la loi impersonnelle est-elle obligée de déchoir en s'incarnant dans des individus ? Dira-t-on qu'il existe deux mondes antagonistes auxquels nous participons également : le monde de la matière et des sens d'une part, le monde de la raison pure et impersonnelle de l'autre ? Mais c'est répéter la question dans des termes à peine différents ; car il s'agit précisément de savoir pourquoi il nous fait mener concurremment ces deux existences. Pourquoi ces deux mondes, qui semblent se contredire, ne restent-ils pas en dehors l'un de l'autre et qu'est-ce qui les nécessite à se pénétrer mutuellement en dépit de leur antagonisme ? La seule explication qui ait jamais été donnée de cette nécessité singulière est l'hypothèse de la chute, avec toutes les difficultés qu'elle implique et qu'il est inutile de rappeler ici. Au contraire, tout mystère disparaît du moment oh l'on a reconnu que la raison impersonnelle n'est qu'un autre nom donné à la pensée collective. Car celle-ci n'est possible que par le groupement des individus ; elle les suppose donc et, à leur tour, ils la supposent parce qu'ils ne peuvent se maintenir qu'en se groupant. Le règne des fins et des vérités impersonnelles ne peut se réaliser que par le concours des volontés et des sensibilités particulières, et les raisons pour lesquelles celles-ci y participent sont les raisons mêmes pour lesquelles elles concourent. En un mot, il y a de l'impersonnel en nous parce qu'il y a du social en nous et, comme la vie sociale comprend à la fois des représentations et des prati</w:t>
      </w:r>
      <w:r w:rsidRPr="00FB35F7">
        <w:rPr>
          <w:rFonts w:ascii="Times New Roman" w:hAnsi="Times New Roman" w:cs="Times"/>
        </w:rPr>
        <w:softHyphen/>
        <w:t>ques, cette impersonnalité s'étend tout naturellement aux idées comme aux actes.</w:t>
      </w:r>
    </w:p>
    <w:p w:rsidR="003F2F8E" w:rsidRPr="00FB35F7" w:rsidRDefault="003F2F8E">
      <w:pPr>
        <w:rPr>
          <w:rFonts w:ascii="Times New Roman" w:hAnsi="Times New Roman" w:cs="Times"/>
        </w:rPr>
      </w:pPr>
    </w:p>
    <w:p w:rsidR="003F2F8E" w:rsidRPr="00FB35F7" w:rsidRDefault="003F2F8E">
      <w:pPr>
        <w:tabs>
          <w:tab w:val="right" w:pos="9360"/>
        </w:tabs>
        <w:jc w:val="both"/>
        <w:rPr>
          <w:rFonts w:ascii="Times New Roman" w:hAnsi="Times New Roman" w:cs="Times"/>
        </w:rPr>
      </w:pPr>
      <w:r w:rsidRPr="00FB35F7">
        <w:rPr>
          <w:rFonts w:ascii="Times New Roman" w:hAnsi="Times New Roman" w:cs="Times"/>
        </w:rPr>
        <w:t>On s'étonnera peut-être de nous voir rapporter à la société les formes les plus élevées de la mentalité humaine : la cause paraît bien humble, eu égard à la valeur que nous prêtons à l'effet. Entre le monde des sens et des appétits d'une part, celui de la raison et de la morale de l'autre, la distance est si considérable que le second semble n'avoir pu se surajouter au premier que par un acte créateur. - Mais attribuer à la société ce rôle prépondérant dans la genèse de notre nature, ce n'est pas nier cette création; car la société dispose précisément d'une puissance créatrice qu'aucun être observable ne peut égaler. Toute création, en effet, à moins d'être une opération mystique qui échappe à la science et à l'intelligence, est le produit d'une synthèse. Or, si les synthèses de représentations particulières qui se produisent au sein de chaque conscience individuelle sont déjà, par elles-mêmes, productrices de nouveautés, combien sont plus efficaces ces vastes synthèses de consciences complètes que les sociétés ! Une société, c'est le plus puissant faisceau de forces physiques et morales dont la nature nous offre le spectacle. Nulle part, on ne trouve une telle richesse de matériaux divers, portés à un tel degré de concentration. Il n'est donc pas surprenant qu'une vie plus haute s'en dégage, qui, réagissant sur les éléments dont elle résulte, les élève à une forme supérieure d'existence et les transforme.</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r w:rsidRPr="00FB35F7">
        <w:rPr>
          <w:rFonts w:ascii="Times New Roman" w:hAnsi="Times New Roman" w:cs="Times"/>
        </w:rPr>
        <w:t xml:space="preserve">Ainsi, la sociologie paraît appelée à ouvrir une voie nouvelle à la science de l'homme. jusqu'ici, on était placé en face de cette alternative : ou bien expliquer les facultés supérieures et spécifiques de l'homme en les ramenant aux formes inférieures de l'être, la raison aux sens, l'esprit à la matière, ce qui revenait à nier leur spécificité ; ou bien les rattacher à quelque réalité supra-expérimentale que l'on postulait, mais dont aucune observation ne peut établir l'existence. Ce qui mettait l'esprit dans cet embarras, c'est que l'individu passait pour être </w:t>
      </w:r>
      <w:r w:rsidRPr="00FB35F7">
        <w:rPr>
          <w:rFonts w:ascii="Times New Roman" w:hAnsi="Times New Roman" w:cs="Times"/>
          <w:i/>
          <w:iCs/>
        </w:rPr>
        <w:t>finis naturae</w:t>
      </w:r>
      <w:r w:rsidRPr="00FB35F7">
        <w:rPr>
          <w:rFonts w:ascii="Times New Roman" w:hAnsi="Times New Roman" w:cs="Times"/>
        </w:rPr>
        <w:t xml:space="preserve"> : il semblait qu'au delà il n'y eût plus rien, du moins rien que la science put atteindre. Mais du moment où l'on a reconnu qu'au-dessus de l'individu il y a la société et, que celle-ci n'est pas un être nominal et de raison, mais un système de forces agissantes, une nouvelle manière d'expliquer l'homme devient possible. Pour lui conserver ses attributs distinctifs, il n'est plus nécessaire de les mettre en dehors de l'expérience. Tout au moins, avant d'en venir à cette extrémité, il convient de rechercher si ce qui, dans l'individu, dépasse l'individu ne lui viendrait pas de cette réalité supra-individuelle, mais donnée dans l'expérience, qu'est la société. Certes, on ne saurait dire dès maintenant jusqu'où ces explications peuvent s'étendre et si elles sont de nature à supprimer tous les problèmes. Mais il est tout aussi impossible de marquer par avance une limite qu'elles ne sauraient dépasser. Ce qu'il faut, c'est essayer l'hypothèse, la soumettre aussi méthodique</w:t>
      </w:r>
      <w:r w:rsidRPr="00FB35F7">
        <w:rPr>
          <w:rFonts w:ascii="Times New Roman" w:hAnsi="Times New Roman" w:cs="Times"/>
        </w:rPr>
        <w:softHyphen/>
        <w:t>ment qu'on peut au contrôle des faits. C'est ce que nous avons essayé de réaliser.</w:t>
      </w:r>
    </w:p>
    <w:p w:rsidR="003F2F8E" w:rsidRPr="00FB35F7" w:rsidRDefault="003F2F8E">
      <w:pPr>
        <w:rPr>
          <w:rFonts w:ascii="Times New Roman" w:hAnsi="Times New Roman" w:cs="Times"/>
        </w:rPr>
      </w:pPr>
    </w:p>
    <w:p w:rsidR="003F2F8E" w:rsidRPr="00FB35F7" w:rsidRDefault="003F2F8E">
      <w:pPr>
        <w:jc w:val="both"/>
        <w:rPr>
          <w:rFonts w:ascii="Times New Roman" w:hAnsi="Times New Roman" w:cs="Times"/>
        </w:rPr>
      </w:pPr>
    </w:p>
    <w:sectPr w:rsidR="003F2F8E" w:rsidRPr="00FB35F7" w:rsidSect="003F2F8E">
      <w:headerReference w:type="default" r:id="rId12"/>
      <w:pgSz w:w="12240" w:h="15840"/>
      <w:pgMar w:top="1800" w:right="1080" w:bottom="1440" w:left="1800" w:header="720" w:footer="720" w:gutter="360"/>
      <w:pgNumType w:start="28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3E4" w:rsidRDefault="002143E4">
      <w:r>
        <w:separator/>
      </w:r>
    </w:p>
  </w:endnote>
  <w:endnote w:type="continuationSeparator" w:id="0">
    <w:p w:rsidR="002143E4" w:rsidRDefault="0021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Garamond">
    <w:altName w:val="DokChampa"/>
    <w:panose1 w:val="020B0604020202020204"/>
    <w:charset w:val="00"/>
    <w:family w:val="auto"/>
    <w:pitch w:val="variable"/>
    <w:sig w:usb0="03000000"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3" w:usb1="00000000" w:usb2="00000000" w:usb3="00000000" w:csb0="00000001" w:csb1="00000000"/>
  </w:font>
  <w:font w:name="Arial-BoldMT">
    <w:altName w:val="Arial"/>
    <w:panose1 w:val="020B0604020202020204"/>
    <w:charset w:val="4D"/>
    <w:family w:val="swiss"/>
    <w:notTrueType/>
    <w:pitch w:val="default"/>
    <w:sig w:usb0="03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3E4" w:rsidRDefault="002143E4">
      <w:pPr>
        <w:ind w:firstLine="0"/>
      </w:pPr>
      <w:r>
        <w:separator/>
      </w:r>
    </w:p>
  </w:footnote>
  <w:footnote w:type="continuationSeparator" w:id="0">
    <w:p w:rsidR="002143E4" w:rsidRDefault="002143E4">
      <w:r>
        <w:continuationSeparator/>
      </w:r>
    </w:p>
  </w:footnote>
  <w:footnote w:id="1">
    <w:p w:rsidR="003F2F8E" w:rsidRDefault="003F2F8E">
      <w:pPr>
        <w:pStyle w:val="Testonotaapidipagina"/>
      </w:pPr>
      <w:r>
        <w:rPr>
          <w:rStyle w:val="Rimandonotaapidipagina"/>
        </w:rPr>
        <w:footnoteRef/>
      </w:r>
      <w:r>
        <w:t xml:space="preserve"> </w:t>
      </w:r>
      <w:r>
        <w:tab/>
      </w:r>
      <w:r w:rsidRPr="00FB35F7">
        <w:t>Il y a notamment une forme du rituel que nous laisserons complètement de côté ; c'est le rituel oral qui doit être étudié dans un volume spécial de la Collection de l'Année sociologique.</w:t>
      </w:r>
    </w:p>
  </w:footnote>
  <w:footnote w:id="2">
    <w:p w:rsidR="003F2F8E" w:rsidRDefault="003F2F8E">
      <w:pPr>
        <w:pStyle w:val="Testonotaapidipagina"/>
      </w:pPr>
      <w:r>
        <w:rPr>
          <w:rStyle w:val="Rimandonotaapidipagina"/>
        </w:rPr>
        <w:footnoteRef/>
      </w:r>
      <w:r>
        <w:t xml:space="preserve"> </w:t>
      </w:r>
      <w:r>
        <w:tab/>
        <w:t xml:space="preserve">V. l'article « Taboo » dans </w:t>
      </w:r>
      <w:r>
        <w:rPr>
          <w:i/>
          <w:iCs/>
        </w:rPr>
        <w:t xml:space="preserve">l'Encyclopedia Britannica, </w:t>
      </w:r>
      <w:r>
        <w:t xml:space="preserve">dont l'auteur est </w:t>
      </w:r>
      <w:r>
        <w:rPr>
          <w:i/>
          <w:iCs/>
        </w:rPr>
        <w:t>FRAZER.</w:t>
      </w:r>
    </w:p>
  </w:footnote>
  <w:footnote w:id="3">
    <w:p w:rsidR="003F2F8E" w:rsidRDefault="003F2F8E">
      <w:pPr>
        <w:pStyle w:val="Testonotaapidipagina"/>
      </w:pPr>
      <w:r>
        <w:rPr>
          <w:rStyle w:val="Rimandonotaapidipagina"/>
        </w:rPr>
        <w:footnoteRef/>
      </w:r>
      <w:r>
        <w:t xml:space="preserve"> </w:t>
      </w:r>
      <w:r>
        <w:tab/>
        <w:t>Les faits prouvent la réalité de cet inconvénient. Il ne manque pas d'écrivains qui, sur la foi du mot, ont cru que l'institution ainsi désignée était spéciale ou aux sociétés primitives en général ou même aux seuls peuples polynésiens (v. RÉVILLE, Religion des peuples primitifs, Il, p. 55; RICHARD, La femme dans l'histoire, p. 435).</w:t>
      </w:r>
    </w:p>
  </w:footnote>
  <w:footnote w:id="4">
    <w:p w:rsidR="003F2F8E" w:rsidRDefault="003F2F8E">
      <w:pPr>
        <w:pStyle w:val="Testonotaapidipagina"/>
      </w:pPr>
      <w:r>
        <w:rPr>
          <w:rStyle w:val="Rimandonotaapidipagina"/>
        </w:rPr>
        <w:footnoteRef/>
      </w:r>
      <w:r>
        <w:t xml:space="preserve"> </w:t>
      </w:r>
      <w:r>
        <w:tab/>
        <w:t>V. plus haut, pp. 59-60.</w:t>
      </w:r>
    </w:p>
  </w:footnote>
  <w:footnote w:id="5">
    <w:p w:rsidR="003F2F8E" w:rsidRDefault="003F2F8E">
      <w:pPr>
        <w:pStyle w:val="Testonotaapidipagina"/>
      </w:pPr>
      <w:r>
        <w:rPr>
          <w:rStyle w:val="Rimandonotaapidipagina"/>
        </w:rPr>
        <w:footnoteRef/>
      </w:r>
      <w:r>
        <w:t xml:space="preserve"> </w:t>
      </w:r>
      <w:r>
        <w:tab/>
        <w:t>Ce n'est pas à dire qu'entre les interdits religieux et les interdits magiques il y ait une solution de continuité radicale : il en est, au contraire, dont la nature vraie est indécise. Il y a des interdits du folklore dont il est souvent malaisé de dire s'ils sont religieux ou magiques. La distinction n'en est pas moins nécessaire ; car les interdits magiques ne peuvent, croyons-nous, être compris qu'en fonction des interdits religieux.</w:t>
      </w:r>
    </w:p>
  </w:footnote>
  <w:footnote w:id="6">
    <w:p w:rsidR="003F2F8E" w:rsidRDefault="003F2F8E">
      <w:pPr>
        <w:pStyle w:val="Testonotaapidipagina"/>
      </w:pPr>
      <w:r>
        <w:rPr>
          <w:rStyle w:val="Rimandonotaapidipagina"/>
        </w:rPr>
        <w:footnoteRef/>
      </w:r>
      <w:r>
        <w:t xml:space="preserve"> </w:t>
      </w:r>
      <w:r>
        <w:tab/>
        <w:t>V. plus haut, p. 212.</w:t>
      </w:r>
    </w:p>
  </w:footnote>
  <w:footnote w:id="7">
    <w:p w:rsidR="003F2F8E" w:rsidRDefault="003F2F8E">
      <w:pPr>
        <w:pStyle w:val="Testonotaapidipagina"/>
      </w:pPr>
      <w:r>
        <w:rPr>
          <w:rStyle w:val="Rimandonotaapidipagina"/>
        </w:rPr>
        <w:footnoteRef/>
      </w:r>
      <w:r>
        <w:t xml:space="preserve"> </w:t>
      </w:r>
      <w:r>
        <w:tab/>
        <w:t>Beaucoup des interdits entre choses sacrées se ramènent, pensons-nous, à l'interdiction entre sacré et profane. C'est le cas des interdits d'âge ou de grade. En Australie, par exemple, il y a des aliments sacrés qui sont réservés aux seuls initiés. Mais ces aliments ne sont pas tous sacrés au même degré ; il y a entre eux une hiérarchie. De leur côté, les initiés ne sont pas tous égaux. Ils ne jouissent pas d'emblée de la plénitude de leurs droits religieux, mais n'entrent que pas à pas dans le domaine des choses sacrées. Ils doivent passer par toute une série de grades qui leur sont conférés, les uns après les autres, à la suite d'épreuves et de cérémonies spéciales ; il leur faut des mois, parfois même des années pour parvenir au plus élevé. Or, à chacun de ces grades sont affectés des aliments déterminés ; les hommes des grades inférieurs ne peuvent pas toucher aux aliments qui appartiennent de droit aux hommes des grades supérieurs (v. MATHEWS, Ethnol. Notes, etc., loc. cit., p. 262 et suiv.; Langloh PARKER, The Euahlayi, p. 23; SPENCER et GILLEN, North. Tr., p. 611 et suiv. Nat. Tr., p. 470 et suiv.). Le plus sacré repousse donc le moins sacré mais c'est que le second est profane par rapport au premier. En somme, toutes les interdictions religieuses se rangent en deux classes : les interdictions entre le sacré et le profane, celles entre le sacré pur et le sacré impur.</w:t>
      </w:r>
    </w:p>
  </w:footnote>
  <w:footnote w:id="8">
    <w:p w:rsidR="003F2F8E" w:rsidRDefault="003F2F8E">
      <w:pPr>
        <w:pStyle w:val="Testonotaapidipagina"/>
      </w:pPr>
      <w:r>
        <w:rPr>
          <w:rStyle w:val="Rimandonotaapidipagina"/>
        </w:rPr>
        <w:footnoteRef/>
      </w:r>
      <w:r>
        <w:t xml:space="preserve"> </w:t>
      </w:r>
      <w:r>
        <w:tab/>
        <w:t>V. plus haut, p. 194.</w:t>
      </w:r>
    </w:p>
  </w:footnote>
  <w:footnote w:id="9">
    <w:p w:rsidR="003F2F8E" w:rsidRDefault="003F2F8E">
      <w:pPr>
        <w:pStyle w:val="Testonotaapidipagina"/>
      </w:pPr>
      <w:r>
        <w:rPr>
          <w:rStyle w:val="Rimandonotaapidipagina"/>
        </w:rPr>
        <w:footnoteRef/>
      </w:r>
      <w:r>
        <w:t xml:space="preserve"> </w:t>
      </w:r>
      <w:r>
        <w:tab/>
        <w:t>SPENCER et GiLLEN, Nat. Tr., p. 463.</w:t>
      </w:r>
    </w:p>
  </w:footnote>
  <w:footnote w:id="10">
    <w:p w:rsidR="003F2F8E" w:rsidRDefault="003F2F8E">
      <w:pPr>
        <w:pStyle w:val="Testonotaapidipagina"/>
      </w:pPr>
      <w:r>
        <w:rPr>
          <w:rStyle w:val="Rimandonotaapidipagina"/>
        </w:rPr>
        <w:footnoteRef/>
      </w:r>
      <w:r>
        <w:t xml:space="preserve"> </w:t>
      </w:r>
      <w:r>
        <w:tab/>
        <w:t>Nat. Tr., p. 538; North. Tr., p. 604.</w:t>
      </w:r>
    </w:p>
  </w:footnote>
  <w:footnote w:id="11">
    <w:p w:rsidR="003F2F8E" w:rsidRDefault="003F2F8E">
      <w:pPr>
        <w:pStyle w:val="Testonotaapidipagina"/>
      </w:pPr>
      <w:r>
        <w:rPr>
          <w:rStyle w:val="Rimandonotaapidipagina"/>
        </w:rPr>
        <w:footnoteRef/>
      </w:r>
      <w:r>
        <w:t xml:space="preserve"> </w:t>
      </w:r>
      <w:r>
        <w:tab/>
        <w:t>North. Tr., p. 531.</w:t>
      </w:r>
    </w:p>
  </w:footnote>
  <w:footnote w:id="12">
    <w:p w:rsidR="003F2F8E" w:rsidRDefault="003F2F8E">
      <w:pPr>
        <w:pStyle w:val="Testonotaapidipagina"/>
      </w:pPr>
      <w:r>
        <w:rPr>
          <w:rStyle w:val="Rimandonotaapidipagina"/>
        </w:rPr>
        <w:footnoteRef/>
      </w:r>
      <w:r>
        <w:t xml:space="preserve"> </w:t>
      </w:r>
      <w:r>
        <w:tab/>
        <w:t>North. Tr., p. 518-519; HOWITT, Nat. Tr., p. 449.</w:t>
      </w:r>
    </w:p>
  </w:footnote>
  <w:footnote w:id="13">
    <w:p w:rsidR="003F2F8E" w:rsidRDefault="003F2F8E">
      <w:pPr>
        <w:pStyle w:val="Testonotaapidipagina"/>
      </w:pPr>
      <w:r>
        <w:rPr>
          <w:rStyle w:val="Rimandonotaapidipagina"/>
        </w:rPr>
        <w:footnoteRef/>
      </w:r>
      <w:r>
        <w:t xml:space="preserve"> </w:t>
      </w:r>
      <w:r>
        <w:tab/>
        <w:t>SPENCER et GILLEN, Nat. Tr., p. 498; SCHULZE, loc. cit, p. 231.</w:t>
      </w:r>
    </w:p>
  </w:footnote>
  <w:footnote w:id="14">
    <w:p w:rsidR="003F2F8E" w:rsidRDefault="003F2F8E">
      <w:pPr>
        <w:pStyle w:val="Testonotaapidipagina"/>
      </w:pPr>
      <w:r>
        <w:rPr>
          <w:rStyle w:val="Rimandonotaapidipagina"/>
        </w:rPr>
        <w:footnoteRef/>
      </w:r>
      <w:r>
        <w:t xml:space="preserve"> </w:t>
      </w:r>
      <w:r>
        <w:tab/>
        <w:t>SPENCER et GILLEN, Nat. Tr., p. 449.</w:t>
      </w:r>
    </w:p>
  </w:footnote>
  <w:footnote w:id="15">
    <w:p w:rsidR="003F2F8E" w:rsidRDefault="003F2F8E">
      <w:pPr>
        <w:pStyle w:val="Testonotaapidipagina"/>
      </w:pPr>
      <w:r>
        <w:rPr>
          <w:rStyle w:val="Rimandonotaapidipagina"/>
        </w:rPr>
        <w:footnoteRef/>
      </w:r>
      <w:r>
        <w:t xml:space="preserve"> </w:t>
      </w:r>
      <w:r>
        <w:tab/>
        <w:t>HOWITT, Nat. Tr., p. 451.</w:t>
      </w:r>
    </w:p>
  </w:footnote>
  <w:footnote w:id="16">
    <w:p w:rsidR="003F2F8E" w:rsidRDefault="003F2F8E">
      <w:pPr>
        <w:pStyle w:val="Testonotaapidipagina"/>
      </w:pPr>
      <w:r>
        <w:rPr>
          <w:rStyle w:val="Rimandonotaapidipagina"/>
        </w:rPr>
        <w:footnoteRef/>
      </w:r>
      <w:r>
        <w:t xml:space="preserve"> </w:t>
      </w:r>
      <w:r>
        <w:tab/>
        <w:t>Si les interdictions alimentaires qui s'appliquent au végétal ou à l'animal totémique sont les plus importantes, il s'en faut que ce soient les seules. Nous avons vu qu'il y a des aliments interdits aux non-initiés, parce qu'ils sont considérés comme sacrés; or, des causes très diverses peuvent leur conférer ce caractère. Par exemple, comme nous le verrons plus loin, les animaux qui montent sur le faite des arbres élevés sont réputés sacrés parce qu'ils sont voisins du grand dieu qui vit aux cieux. Il est possible aussi que, pour des raisons différentes, la chair de certains animaux ait été spécialement réservée aux vieillards et que, par suite, elle ait paru participer du caractère sacré qui est reconnu à ces derniers.</w:t>
      </w:r>
    </w:p>
  </w:footnote>
  <w:footnote w:id="17">
    <w:p w:rsidR="003F2F8E" w:rsidRDefault="003F2F8E">
      <w:pPr>
        <w:pStyle w:val="Testonotaapidipagina"/>
      </w:pPr>
      <w:r>
        <w:rPr>
          <w:rStyle w:val="Rimandonotaapidipagina"/>
        </w:rPr>
        <w:footnoteRef/>
      </w:r>
      <w:r>
        <w:t xml:space="preserve"> </w:t>
      </w:r>
      <w:r>
        <w:tab/>
        <w:t>V. FRAZER, Totemism, p. 7.</w:t>
      </w:r>
    </w:p>
  </w:footnote>
  <w:footnote w:id="18">
    <w:p w:rsidR="003F2F8E" w:rsidRDefault="003F2F8E">
      <w:pPr>
        <w:pStyle w:val="Testonotaapidipagina"/>
      </w:pPr>
      <w:r>
        <w:rPr>
          <w:rStyle w:val="Rimandonotaapidipagina"/>
        </w:rPr>
        <w:footnoteRef/>
      </w:r>
      <w:r>
        <w:t xml:space="preserve"> </w:t>
      </w:r>
      <w:r>
        <w:tab/>
        <w:t>HOWITT, Nat. Tr., p. 674. - Il y a une interdiction de contact dont nous ne disons rien parce que la nature exacte n'en est pas très facilement déterminable : c'est le contact sexuel. Il y a des périodes religieuses où l'homme ne doit pas avoir commerce avec la femme (North. Tr., pp. 293, 295 ; HOWITT, Nat. Tr., p. 387). Est-ce parce que la femme est profane ou parce que l'acte sexuel est un acte redouté ? La question ne peut être tranchée en passant. Nous l'ajournons comme tout ce qui concerne les rites conjugaux et sexuels. lis tiennent trop étroitement au problème du mariage et de la famille pour en pouvoir être séparés.</w:t>
      </w:r>
    </w:p>
  </w:footnote>
  <w:footnote w:id="19">
    <w:p w:rsidR="003F2F8E" w:rsidRDefault="003F2F8E">
      <w:pPr>
        <w:pStyle w:val="Testonotaapidipagina"/>
      </w:pPr>
      <w:r>
        <w:rPr>
          <w:rStyle w:val="Rimandonotaapidipagina"/>
        </w:rPr>
        <w:footnoteRef/>
      </w:r>
      <w:r>
        <w:t xml:space="preserve"> </w:t>
      </w:r>
      <w:r>
        <w:tab/>
        <w:t>SPENCER et GILLEN, Nat. Tr., p. 134; HOWITT, Nat. Tr., p. 354.</w:t>
      </w:r>
    </w:p>
  </w:footnote>
  <w:footnote w:id="20">
    <w:p w:rsidR="003F2F8E" w:rsidRDefault="003F2F8E">
      <w:pPr>
        <w:pStyle w:val="Testonotaapidipagina"/>
      </w:pPr>
      <w:r>
        <w:rPr>
          <w:rStyle w:val="Rimandonotaapidipagina"/>
        </w:rPr>
        <w:footnoteRef/>
      </w:r>
      <w:r>
        <w:t xml:space="preserve"> </w:t>
      </w:r>
      <w:r>
        <w:tab/>
        <w:t>SPENCER et GILLEN, Nat. Tr., p. 624.</w:t>
      </w:r>
    </w:p>
  </w:footnote>
  <w:footnote w:id="21">
    <w:p w:rsidR="003F2F8E" w:rsidRDefault="003F2F8E">
      <w:pPr>
        <w:pStyle w:val="Testonotaapidipagina"/>
      </w:pPr>
      <w:r>
        <w:rPr>
          <w:rStyle w:val="Rimandonotaapidipagina"/>
        </w:rPr>
        <w:footnoteRef/>
      </w:r>
      <w:r>
        <w:t xml:space="preserve"> </w:t>
      </w:r>
      <w:r>
        <w:tab/>
        <w:t>HOWITT, Nat. Tr., p. 572.</w:t>
      </w:r>
    </w:p>
  </w:footnote>
  <w:footnote w:id="22">
    <w:p w:rsidR="003F2F8E" w:rsidRDefault="003F2F8E">
      <w:pPr>
        <w:pStyle w:val="Testonotaapidipagina"/>
      </w:pPr>
      <w:r>
        <w:rPr>
          <w:rStyle w:val="Rimandonotaapidipagina"/>
        </w:rPr>
        <w:footnoteRef/>
      </w:r>
      <w:r>
        <w:t xml:space="preserve"> </w:t>
      </w:r>
      <w:r>
        <w:tab/>
        <w:t>HOWITT, ibid., p. 661.</w:t>
      </w:r>
    </w:p>
  </w:footnote>
  <w:footnote w:id="23">
    <w:p w:rsidR="003F2F8E" w:rsidRDefault="003F2F8E">
      <w:pPr>
        <w:pStyle w:val="Testonotaapidipagina"/>
      </w:pPr>
      <w:r>
        <w:rPr>
          <w:rStyle w:val="Rimandonotaapidipagina"/>
        </w:rPr>
        <w:footnoteRef/>
      </w:r>
      <w:r>
        <w:t xml:space="preserve"> </w:t>
      </w:r>
      <w:r>
        <w:tab/>
        <w:t>SPENCER et GILLEN, Nat. Tr., p. 386; HOWITT, Nat. Tr., pp. 655,665.</w:t>
      </w:r>
    </w:p>
  </w:footnote>
  <w:footnote w:id="24">
    <w:p w:rsidR="003F2F8E" w:rsidRDefault="003F2F8E">
      <w:pPr>
        <w:pStyle w:val="Testonotaapidipagina"/>
      </w:pPr>
      <w:r>
        <w:rPr>
          <w:rStyle w:val="Rimandonotaapidipagina"/>
        </w:rPr>
        <w:footnoteRef/>
      </w:r>
      <w:r>
        <w:t xml:space="preserve"> </w:t>
      </w:r>
      <w:r>
        <w:tab/>
        <w:t>Chez les Wiimbaio (HOWITT, ibid., p. 451).</w:t>
      </w:r>
    </w:p>
  </w:footnote>
  <w:footnote w:id="25">
    <w:p w:rsidR="003F2F8E" w:rsidRDefault="003F2F8E">
      <w:pPr>
        <w:pStyle w:val="Testonotaapidipagina"/>
      </w:pPr>
      <w:r>
        <w:rPr>
          <w:rStyle w:val="Rimandonotaapidipagina"/>
        </w:rPr>
        <w:footnoteRef/>
      </w:r>
      <w:r>
        <w:t xml:space="preserve"> </w:t>
      </w:r>
      <w:r>
        <w:tab/>
        <w:t>HOWITT, ibid., p. 624, 661, 663, 667; SPENCER et GILLEN, Nat. Tr., pp. 221, 382 et suiv.; North., Tr., pp. 335, 344, 353, 369.</w:t>
      </w:r>
    </w:p>
  </w:footnote>
  <w:footnote w:id="26">
    <w:p w:rsidR="003F2F8E" w:rsidRDefault="003F2F8E">
      <w:pPr>
        <w:pStyle w:val="Testonotaapidipagina"/>
      </w:pPr>
      <w:r>
        <w:rPr>
          <w:rStyle w:val="Rimandonotaapidipagina"/>
        </w:rPr>
        <w:footnoteRef/>
      </w:r>
      <w:r>
        <w:t xml:space="preserve"> </w:t>
      </w:r>
      <w:r>
        <w:tab/>
        <w:t>SPENCER et GILLEN, Nat. Tr., pp. 221, 262, 288, 303, 367, 378, 380.</w:t>
      </w:r>
    </w:p>
  </w:footnote>
  <w:footnote w:id="27">
    <w:p w:rsidR="003F2F8E" w:rsidRDefault="003F2F8E">
      <w:pPr>
        <w:pStyle w:val="Testonotaapidipagina"/>
      </w:pPr>
      <w:r>
        <w:rPr>
          <w:rStyle w:val="Rimandonotaapidipagina"/>
        </w:rPr>
        <w:footnoteRef/>
      </w:r>
      <w:r>
        <w:t xml:space="preserve"> </w:t>
      </w:r>
      <w:r>
        <w:tab/>
        <w:t>Ibid., p. 302.</w:t>
      </w:r>
    </w:p>
  </w:footnote>
  <w:footnote w:id="28">
    <w:p w:rsidR="003F2F8E" w:rsidRDefault="003F2F8E">
      <w:pPr>
        <w:pStyle w:val="Testonotaapidipagina"/>
      </w:pPr>
      <w:r>
        <w:rPr>
          <w:rStyle w:val="Rimandonotaapidipagina"/>
        </w:rPr>
        <w:footnoteRef/>
      </w:r>
      <w:r>
        <w:t xml:space="preserve"> </w:t>
      </w:r>
      <w:r>
        <w:tab/>
        <w:t>HOWITT, Nat. Tr., p. 581.</w:t>
      </w:r>
    </w:p>
  </w:footnote>
  <w:footnote w:id="29">
    <w:p w:rsidR="003F2F8E" w:rsidRDefault="003F2F8E">
      <w:pPr>
        <w:pStyle w:val="Testonotaapidipagina"/>
      </w:pPr>
      <w:r>
        <w:rPr>
          <w:rStyle w:val="Rimandonotaapidipagina"/>
        </w:rPr>
        <w:footnoteRef/>
      </w:r>
      <w:r>
        <w:t xml:space="preserve"> </w:t>
      </w:r>
      <w:r>
        <w:tab/>
        <w:t>North. Tr., p. 227.</w:t>
      </w:r>
    </w:p>
  </w:footnote>
  <w:footnote w:id="30">
    <w:p w:rsidR="003F2F8E" w:rsidRDefault="003F2F8E">
      <w:pPr>
        <w:pStyle w:val="Testonotaapidipagina"/>
      </w:pPr>
      <w:r>
        <w:rPr>
          <w:rStyle w:val="Rimandonotaapidipagina"/>
        </w:rPr>
        <w:footnoteRef/>
      </w:r>
      <w:r>
        <w:t xml:space="preserve"> </w:t>
      </w:r>
      <w:r>
        <w:tab/>
        <w:t>Voir plus haut, p. 412.</w:t>
      </w:r>
    </w:p>
  </w:footnote>
  <w:footnote w:id="31">
    <w:p w:rsidR="003F2F8E" w:rsidRDefault="003F2F8E">
      <w:pPr>
        <w:pStyle w:val="Testonotaapidipagina"/>
      </w:pPr>
      <w:r>
        <w:rPr>
          <w:rStyle w:val="Rimandonotaapidipagina"/>
        </w:rPr>
        <w:footnoteRef/>
      </w:r>
      <w:r>
        <w:t xml:space="preserve"> </w:t>
      </w:r>
      <w:r>
        <w:tab/>
        <w:t>SPENCER et GILLEN, Nat. Tr., p. 498; North. Tr., p. 526; TAPLIN, Narrinyeri, p. 19.</w:t>
      </w:r>
    </w:p>
  </w:footnote>
  <w:footnote w:id="32">
    <w:p w:rsidR="003F2F8E" w:rsidRDefault="003F2F8E">
      <w:pPr>
        <w:pStyle w:val="Testonotaapidipagina"/>
      </w:pPr>
      <w:r>
        <w:rPr>
          <w:rStyle w:val="Rimandonotaapidipagina"/>
        </w:rPr>
        <w:footnoteRef/>
      </w:r>
      <w:r>
        <w:t xml:space="preserve"> </w:t>
      </w:r>
      <w:r>
        <w:tab/>
        <w:t>HOWITT, Nat. Tr., pp. 466, 469 et suiv.</w:t>
      </w:r>
    </w:p>
  </w:footnote>
  <w:footnote w:id="33">
    <w:p w:rsidR="003F2F8E" w:rsidRDefault="003F2F8E">
      <w:pPr>
        <w:pStyle w:val="Testonotaapidipagina"/>
      </w:pPr>
      <w:r>
        <w:rPr>
          <w:rStyle w:val="Rimandonotaapidipagina"/>
        </w:rPr>
        <w:footnoteRef/>
      </w:r>
      <w:r>
        <w:t xml:space="preserve"> </w:t>
      </w:r>
      <w:r>
        <w:tab/>
        <w:t>WYATT, Adelaide and Encounter Bay Tribes, in WOODS, p. 165.</w:t>
      </w:r>
    </w:p>
  </w:footnote>
  <w:footnote w:id="34">
    <w:p w:rsidR="003F2F8E" w:rsidRDefault="003F2F8E">
      <w:pPr>
        <w:pStyle w:val="Testonotaapidipagina"/>
      </w:pPr>
      <w:r>
        <w:rPr>
          <w:rStyle w:val="Rimandonotaapidipagina"/>
        </w:rPr>
        <w:footnoteRef/>
      </w:r>
      <w:r>
        <w:t xml:space="preserve"> </w:t>
      </w:r>
      <w:r>
        <w:tab/>
        <w:t>HOWITT, Nat. Tr., p. 470.</w:t>
      </w:r>
    </w:p>
  </w:footnote>
  <w:footnote w:id="35">
    <w:p w:rsidR="003F2F8E" w:rsidRDefault="003F2F8E">
      <w:pPr>
        <w:pStyle w:val="Testonotaapidipagina"/>
      </w:pPr>
      <w:r>
        <w:rPr>
          <w:rStyle w:val="Rimandonotaapidipagina"/>
        </w:rPr>
        <w:footnoteRef/>
      </w:r>
      <w:r>
        <w:t xml:space="preserve"> </w:t>
      </w:r>
      <w:r>
        <w:tab/>
        <w:t>HOWITT, Nat. Tr., p. 657; SPENCER et GILLEN, Nat. Tr., p. 139 ; North. Tr., p. 580 et suiv.</w:t>
      </w:r>
    </w:p>
  </w:footnote>
  <w:footnote w:id="36">
    <w:p w:rsidR="003F2F8E" w:rsidRDefault="003F2F8E">
      <w:pPr>
        <w:pStyle w:val="Testonotaapidipagina"/>
      </w:pPr>
      <w:r>
        <w:rPr>
          <w:rStyle w:val="Rimandonotaapidipagina"/>
        </w:rPr>
        <w:footnoteRef/>
      </w:r>
      <w:r>
        <w:t xml:space="preserve"> </w:t>
      </w:r>
      <w:r>
        <w:tab/>
        <w:t>HOWITT, Nat. Tr., p. 537.</w:t>
      </w:r>
    </w:p>
  </w:footnote>
  <w:footnote w:id="37">
    <w:p w:rsidR="003F2F8E" w:rsidRDefault="003F2F8E">
      <w:pPr>
        <w:pStyle w:val="Testonotaapidipagina"/>
      </w:pPr>
      <w:r>
        <w:rPr>
          <w:rStyle w:val="Rimandonotaapidipagina"/>
        </w:rPr>
        <w:footnoteRef/>
      </w:r>
      <w:r>
        <w:t xml:space="preserve"> </w:t>
      </w:r>
      <w:r>
        <w:tab/>
        <w:t>Ibid., pp. 544, 597, 614, 620.</w:t>
      </w:r>
    </w:p>
  </w:footnote>
  <w:footnote w:id="38">
    <w:p w:rsidR="003F2F8E" w:rsidRDefault="003F2F8E">
      <w:pPr>
        <w:pStyle w:val="Testonotaapidipagina"/>
      </w:pPr>
      <w:r>
        <w:rPr>
          <w:rStyle w:val="Rimandonotaapidipagina"/>
        </w:rPr>
        <w:footnoteRef/>
      </w:r>
      <w:r>
        <w:t xml:space="preserve"> </w:t>
      </w:r>
      <w:r>
        <w:tab/>
        <w:t>Par exemple, la ceinture de cheveux qu'il porte d'ordinaire (SPENCER et GILLEN, Nat. Tr., p. 171).</w:t>
      </w:r>
    </w:p>
  </w:footnote>
  <w:footnote w:id="39">
    <w:p w:rsidR="003F2F8E" w:rsidRDefault="003F2F8E">
      <w:pPr>
        <w:pStyle w:val="Testonotaapidipagina"/>
      </w:pPr>
      <w:r>
        <w:rPr>
          <w:rStyle w:val="Rimandonotaapidipagina"/>
        </w:rPr>
        <w:footnoteRef/>
      </w:r>
      <w:r>
        <w:t xml:space="preserve"> </w:t>
      </w:r>
      <w:r>
        <w:tab/>
        <w:t>Ibid., p. 624 et suiv.</w:t>
      </w:r>
    </w:p>
  </w:footnote>
  <w:footnote w:id="40">
    <w:p w:rsidR="003F2F8E" w:rsidRDefault="003F2F8E">
      <w:pPr>
        <w:pStyle w:val="Testonotaapidipagina"/>
      </w:pPr>
      <w:r>
        <w:rPr>
          <w:rStyle w:val="Rimandonotaapidipagina"/>
        </w:rPr>
        <w:footnoteRef/>
      </w:r>
      <w:r>
        <w:t xml:space="preserve"> </w:t>
      </w:r>
      <w:r>
        <w:tab/>
        <w:t>HOWITT, Nat. Tr., p. 556,</w:t>
      </w:r>
    </w:p>
  </w:footnote>
  <w:footnote w:id="41">
    <w:p w:rsidR="003F2F8E" w:rsidRDefault="003F2F8E">
      <w:pPr>
        <w:pStyle w:val="Testonotaapidipagina"/>
      </w:pPr>
      <w:r>
        <w:rPr>
          <w:rStyle w:val="Rimandonotaapidipagina"/>
        </w:rPr>
        <w:footnoteRef/>
      </w:r>
      <w:r>
        <w:t xml:space="preserve"> </w:t>
      </w:r>
      <w:r>
        <w:tab/>
        <w:t>Ibid., p. 587.</w:t>
      </w:r>
    </w:p>
  </w:footnote>
  <w:footnote w:id="42">
    <w:p w:rsidR="003F2F8E" w:rsidRDefault="003F2F8E">
      <w:pPr>
        <w:pStyle w:val="Testonotaapidipagina"/>
      </w:pPr>
      <w:r>
        <w:rPr>
          <w:rStyle w:val="Rimandonotaapidipagina"/>
        </w:rPr>
        <w:footnoteRef/>
      </w:r>
      <w:r>
        <w:t xml:space="preserve"> </w:t>
      </w:r>
      <w:r>
        <w:tab/>
        <w:t>Cet acte prend, il est vrai, un caractère religieux quand l'aliment consommé est sacré. Mais l'acte, par lui-même, est si bien profane que la consommation d'un aliment sacré constitue toujours une profanation. La profanation peut être permise ou même ordonnée, mais, comme nous le verrons plus loin, à condition que des rites la précèdent ou l'accompagnent qui l'atténuent ou l'expient. L'existence de ces rites montre bien que, par elle-même, la choses sacrée répugne à être consommée.</w:t>
      </w:r>
    </w:p>
  </w:footnote>
  <w:footnote w:id="43">
    <w:p w:rsidR="003F2F8E" w:rsidRDefault="003F2F8E">
      <w:pPr>
        <w:pStyle w:val="Testonotaapidipagina"/>
      </w:pPr>
      <w:r>
        <w:rPr>
          <w:rStyle w:val="Rimandonotaapidipagina"/>
        </w:rPr>
        <w:footnoteRef/>
      </w:r>
      <w:r>
        <w:t xml:space="preserve"> </w:t>
      </w:r>
      <w:r>
        <w:tab/>
        <w:t>North. Tr., p. 263.</w:t>
      </w:r>
    </w:p>
  </w:footnote>
  <w:footnote w:id="44">
    <w:p w:rsidR="003F2F8E" w:rsidRDefault="003F2F8E">
      <w:pPr>
        <w:pStyle w:val="Testonotaapidipagina"/>
      </w:pPr>
      <w:r>
        <w:rPr>
          <w:rStyle w:val="Rimandonotaapidipagina"/>
        </w:rPr>
        <w:footnoteRef/>
      </w:r>
      <w:r>
        <w:t xml:space="preserve"> </w:t>
      </w:r>
      <w:r>
        <w:tab/>
        <w:t>Spencer et GiLLEN, Nat. Tr., p. 171.</w:t>
      </w:r>
    </w:p>
  </w:footnote>
  <w:footnote w:id="45">
    <w:p w:rsidR="003F2F8E" w:rsidRDefault="003F2F8E">
      <w:pPr>
        <w:pStyle w:val="Testonotaapidipagina"/>
      </w:pPr>
      <w:r>
        <w:rPr>
          <w:rStyle w:val="Rimandonotaapidipagina"/>
        </w:rPr>
        <w:footnoteRef/>
      </w:r>
      <w:r>
        <w:t xml:space="preserve"> </w:t>
      </w:r>
      <w:r>
        <w:tab/>
        <w:t>HOWITT, Nat. Tr., p. 674. Peut-être la défense de parler pendant les grandes solennités religieuses tient-elle, en partie, à la même cause, On parle, et surtout on parle à voix haute dans la vie courante ; donc, dans la vie religieuse, on doit ou se taire ou parler à voix basse. La même considération n'est pas étrangère aux interdictions alimentaires (v. plus haut, p. 181).</w:t>
      </w:r>
    </w:p>
  </w:footnote>
  <w:footnote w:id="46">
    <w:p w:rsidR="003F2F8E" w:rsidRDefault="003F2F8E">
      <w:pPr>
        <w:pStyle w:val="Testonotaapidipagina"/>
      </w:pPr>
      <w:r>
        <w:rPr>
          <w:rStyle w:val="Rimandonotaapidipagina"/>
        </w:rPr>
        <w:footnoteRef/>
      </w:r>
      <w:r>
        <w:t xml:space="preserve"> </w:t>
      </w:r>
      <w:r>
        <w:tab/>
        <w:t>North. Tr., p. 33.</w:t>
      </w:r>
    </w:p>
  </w:footnote>
  <w:footnote w:id="47">
    <w:p w:rsidR="003F2F8E" w:rsidRDefault="003F2F8E">
      <w:pPr>
        <w:pStyle w:val="Testonotaapidipagina"/>
      </w:pPr>
      <w:r>
        <w:rPr>
          <w:rStyle w:val="Rimandonotaapidipagina"/>
        </w:rPr>
        <w:footnoteRef/>
      </w:r>
      <w:r>
        <w:t xml:space="preserve"> </w:t>
      </w:r>
      <w:r>
        <w:tab/>
        <w:t xml:space="preserve">Parce qu'il y a, à l'intérieur de chaque homme, un principe sacré, l'âme, l'individu s'est trouvé, dès l'origine, entouré d'interdits, première forme des interdits moraux qui isolent et protègent aujourd'hui la personne humaine. C'est ainsi que le corps de sa victime est considéré comme dangereux pour le meurtrier (SPENCER et GILLEN, Nat. Tr., p. 492) et lui est interdit. Or, les interdits qui ont cette origine sont souvent utilisés par les individus comme un moyen de retirer certaines choses de l'usage commun et d'établir sur elles un droit de propriété. « Un homme sort-il du camp en y laissant des armes, des aliments, etc., dit ROTH à propos des tribus de la Rivière Palmer (Queensland du Nord?), s'il urine à proximité des objets qu'il a ainsi laissés derrière lui, ils deviennent tami (équivalent du mot tabou) et il peut être assuré de les retrouver intacts à son retour » (North Queensland Ethnography, in Records of the Australian Museum, vol. VII, no 2, p. 75). C'est que l'urine, comme le sang, est censée contenir quelque chose de la force sacrée qui est personnelle à l'individu. Elle tient donc les étrangers à distance. La parole, pour les mêmes raisons, peut également servir de véhicule à ces mêmes influences; c'est pourquoi il est possible d'interdire l'accès d'un objet par simple déclaration verbale. Ce pouvoir de créer des interdits est, d'ailleurs, variable suivant les individus; il est d'autant plus grand qu'ils ont un caractère plus sacré; Les hommes en ont presque le privilège à l'exclusion des femmes (Roth cite un seul cas de tabou imposé par les femmes) ; il est à son maximum chez les chefs, les anciens, qui s'en servent pour monopoliser les choses qui leur conviennent </w:t>
      </w:r>
      <w:r>
        <w:rPr>
          <w:i/>
          <w:iCs/>
        </w:rPr>
        <w:t xml:space="preserve">(ROTH, ibid., p. 77). </w:t>
      </w:r>
      <w:r>
        <w:t>C'est ainsi que l'interdit religieux devient droit de propriété et règlement administratif.</w:t>
      </w:r>
    </w:p>
  </w:footnote>
  <w:footnote w:id="48">
    <w:p w:rsidR="003F2F8E" w:rsidRDefault="003F2F8E">
      <w:pPr>
        <w:pStyle w:val="Testonotaapidipagina"/>
      </w:pPr>
      <w:r>
        <w:rPr>
          <w:rStyle w:val="Rimandonotaapidipagina"/>
        </w:rPr>
        <w:footnoteRef/>
      </w:r>
      <w:r>
        <w:t xml:space="preserve"> </w:t>
      </w:r>
      <w:r>
        <w:tab/>
        <w:t>V. plus bas, même livre, chap. Il.</w:t>
      </w:r>
    </w:p>
  </w:footnote>
  <w:footnote w:id="49">
    <w:p w:rsidR="003F2F8E" w:rsidRDefault="003F2F8E">
      <w:pPr>
        <w:pStyle w:val="Testonotaapidipagina"/>
      </w:pPr>
      <w:r>
        <w:rPr>
          <w:rStyle w:val="Rimandonotaapidipagina"/>
        </w:rPr>
        <w:footnoteRef/>
      </w:r>
      <w:r>
        <w:t xml:space="preserve"> </w:t>
      </w:r>
      <w:r>
        <w:tab/>
        <w:t>V. plus haut, p. 14.</w:t>
      </w:r>
    </w:p>
  </w:footnote>
  <w:footnote w:id="50">
    <w:p w:rsidR="003F2F8E" w:rsidRDefault="003F2F8E">
      <w:pPr>
        <w:pStyle w:val="Testonotaapidipagina"/>
      </w:pPr>
      <w:r>
        <w:rPr>
          <w:rStyle w:val="Rimandonotaapidipagina"/>
        </w:rPr>
        <w:footnoteRef/>
      </w:r>
      <w:r>
        <w:t xml:space="preserve"> </w:t>
      </w:r>
      <w:r>
        <w:tab/>
        <w:t>V. plus haut, p. 313.</w:t>
      </w:r>
    </w:p>
  </w:footnote>
  <w:footnote w:id="51">
    <w:p w:rsidR="003F2F8E" w:rsidRDefault="003F2F8E">
      <w:pPr>
        <w:pStyle w:val="Testonotaapidipagina"/>
      </w:pPr>
      <w:r>
        <w:rPr>
          <w:rStyle w:val="Rimandonotaapidipagina"/>
        </w:rPr>
        <w:footnoteRef/>
      </w:r>
      <w:r>
        <w:t xml:space="preserve"> </w:t>
      </w:r>
      <w:r>
        <w:tab/>
        <w:t>V. HUBERT et Mauss, Essai sur la nature et la fonction du sacrifice, in Mélanges  d'histoire des religions, p. 22 et suiv.</w:t>
      </w:r>
    </w:p>
  </w:footnote>
  <w:footnote w:id="52">
    <w:p w:rsidR="003F2F8E" w:rsidRDefault="003F2F8E">
      <w:pPr>
        <w:pStyle w:val="Testonotaapidipagina"/>
      </w:pPr>
      <w:r>
        <w:rPr>
          <w:rStyle w:val="Rimandonotaapidipagina"/>
        </w:rPr>
        <w:footnoteRef/>
      </w:r>
      <w:r>
        <w:t xml:space="preserve"> </w:t>
      </w:r>
      <w:r>
        <w:tab/>
        <w:t>HOWITT, Nat. Tr., pp. 560, 657, 659, 661. L'ombre d'une femme ne doit même pas tomber sur lui (ibid,, p. 633). Ce qu'il touche ne peut être touché par une femme (ibid., p. 621).</w:t>
      </w:r>
    </w:p>
  </w:footnote>
  <w:footnote w:id="53">
    <w:p w:rsidR="003F2F8E" w:rsidRDefault="003F2F8E">
      <w:pPr>
        <w:pStyle w:val="Testonotaapidipagina"/>
      </w:pPr>
      <w:r>
        <w:rPr>
          <w:rStyle w:val="Rimandonotaapidipagina"/>
        </w:rPr>
        <w:footnoteRef/>
      </w:r>
      <w:r>
        <w:t xml:space="preserve"> </w:t>
      </w:r>
      <w:r>
        <w:tab/>
        <w:t>Ibid., pp. 561, 563, 670-671 ; SPENCER et GILLEN, Nat. Tr., p. 223 ; North. Tr., pp. 340, 342.</w:t>
      </w:r>
    </w:p>
  </w:footnote>
  <w:footnote w:id="54">
    <w:p w:rsidR="003F2F8E" w:rsidRDefault="003F2F8E">
      <w:pPr>
        <w:pStyle w:val="Testonotaapidipagina"/>
      </w:pPr>
      <w:r>
        <w:rPr>
          <w:rStyle w:val="Rimandonotaapidipagina"/>
        </w:rPr>
        <w:footnoteRef/>
      </w:r>
      <w:r>
        <w:t xml:space="preserve"> </w:t>
      </w:r>
      <w:r>
        <w:tab/>
        <w:t>Le mot de Jeraeil, par exemple, chez les Kurnai; celui de Kuringal chez les Yuin, les Wolgat (HOWITT, Nat. Tr., pp. 581, 617).</w:t>
      </w:r>
    </w:p>
  </w:footnote>
  <w:footnote w:id="55">
    <w:p w:rsidR="003F2F8E" w:rsidRDefault="003F2F8E">
      <w:pPr>
        <w:pStyle w:val="Testonotaapidipagina"/>
      </w:pPr>
      <w:r>
        <w:rPr>
          <w:rStyle w:val="Rimandonotaapidipagina"/>
        </w:rPr>
        <w:footnoteRef/>
      </w:r>
      <w:r>
        <w:t xml:space="preserve"> </w:t>
      </w:r>
      <w:r>
        <w:tab/>
        <w:t>SPENCER et GILLEN, Nat. Tr., p. 348.</w:t>
      </w:r>
    </w:p>
  </w:footnote>
  <w:footnote w:id="56">
    <w:p w:rsidR="003F2F8E" w:rsidRDefault="003F2F8E">
      <w:pPr>
        <w:pStyle w:val="Testonotaapidipagina"/>
      </w:pPr>
      <w:r>
        <w:rPr>
          <w:rStyle w:val="Rimandonotaapidipagina"/>
        </w:rPr>
        <w:footnoteRef/>
      </w:r>
      <w:r>
        <w:t xml:space="preserve"> </w:t>
      </w:r>
      <w:r>
        <w:tab/>
        <w:t>HOWITT, p. 561.</w:t>
      </w:r>
    </w:p>
  </w:footnote>
  <w:footnote w:id="57">
    <w:p w:rsidR="003F2F8E" w:rsidRDefault="003F2F8E">
      <w:pPr>
        <w:pStyle w:val="Testonotaapidipagina"/>
      </w:pPr>
      <w:r>
        <w:rPr>
          <w:rStyle w:val="Rimandonotaapidipagina"/>
        </w:rPr>
        <w:footnoteRef/>
      </w:r>
      <w:r>
        <w:t xml:space="preserve"> </w:t>
      </w:r>
      <w:r>
        <w:tab/>
        <w:t>Ibid., pp. 633, 538, 560.</w:t>
      </w:r>
    </w:p>
  </w:footnote>
  <w:footnote w:id="58">
    <w:p w:rsidR="003F2F8E" w:rsidRDefault="003F2F8E">
      <w:pPr>
        <w:pStyle w:val="Testonotaapidipagina"/>
      </w:pPr>
      <w:r>
        <w:rPr>
          <w:rStyle w:val="Rimandonotaapidipagina"/>
        </w:rPr>
        <w:footnoteRef/>
      </w:r>
      <w:r>
        <w:t xml:space="preserve"> </w:t>
      </w:r>
      <w:r>
        <w:tab/>
        <w:t>Ibid., p. 674; Langloh PARKER, Euahlayi, p. 75.</w:t>
      </w:r>
    </w:p>
  </w:footnote>
  <w:footnote w:id="59">
    <w:p w:rsidR="003F2F8E" w:rsidRDefault="003F2F8E">
      <w:pPr>
        <w:pStyle w:val="Testonotaapidipagina"/>
      </w:pPr>
      <w:r>
        <w:rPr>
          <w:rStyle w:val="Rimandonotaapidipagina"/>
        </w:rPr>
        <w:footnoteRef/>
      </w:r>
      <w:r>
        <w:t xml:space="preserve"> </w:t>
      </w:r>
      <w:r>
        <w:tab/>
        <w:t>RIDLEY, Kamilaroi, p. 154.</w:t>
      </w:r>
    </w:p>
  </w:footnote>
  <w:footnote w:id="60">
    <w:p w:rsidR="003F2F8E" w:rsidRDefault="003F2F8E">
      <w:pPr>
        <w:pStyle w:val="Testonotaapidipagina"/>
      </w:pPr>
      <w:r>
        <w:rPr>
          <w:rStyle w:val="Rimandonotaapidipagina"/>
        </w:rPr>
        <w:footnoteRef/>
      </w:r>
      <w:r>
        <w:t xml:space="preserve"> </w:t>
      </w:r>
      <w:r>
        <w:tab/>
        <w:t>HOWITT, p. 563.</w:t>
      </w:r>
    </w:p>
  </w:footnote>
  <w:footnote w:id="61">
    <w:p w:rsidR="003F2F8E" w:rsidRDefault="003F2F8E">
      <w:pPr>
        <w:pStyle w:val="Testonotaapidipagina"/>
      </w:pPr>
      <w:r>
        <w:rPr>
          <w:rStyle w:val="Rimandonotaapidipagina"/>
        </w:rPr>
        <w:footnoteRef/>
      </w:r>
      <w:r>
        <w:t xml:space="preserve"> </w:t>
      </w:r>
      <w:r>
        <w:tab/>
        <w:t>Ibid., p. 611.</w:t>
      </w:r>
    </w:p>
  </w:footnote>
  <w:footnote w:id="62">
    <w:p w:rsidR="003F2F8E" w:rsidRDefault="003F2F8E">
      <w:pPr>
        <w:pStyle w:val="Testonotaapidipagina"/>
      </w:pPr>
      <w:r>
        <w:rPr>
          <w:rStyle w:val="Rimandonotaapidipagina"/>
        </w:rPr>
        <w:footnoteRef/>
      </w:r>
      <w:r>
        <w:t xml:space="preserve"> </w:t>
      </w:r>
      <w:r>
        <w:tab/>
        <w:t>Ibid., pp. 549, 674.</w:t>
      </w:r>
    </w:p>
  </w:footnote>
  <w:footnote w:id="63">
    <w:p w:rsidR="003F2F8E" w:rsidRDefault="003F2F8E">
      <w:pPr>
        <w:pStyle w:val="Testonotaapidipagina"/>
      </w:pPr>
      <w:r>
        <w:rPr>
          <w:rStyle w:val="Rimandonotaapidipagina"/>
        </w:rPr>
        <w:footnoteRef/>
      </w:r>
      <w:r>
        <w:t xml:space="preserve"> </w:t>
      </w:r>
      <w:r>
        <w:tab/>
        <w:t>HOWITT, Nat. Tr., pp. 580, 596, 604, 668, 670 ; SPENCER et GILLEN, Nat. Tr., pp. 223, 351.</w:t>
      </w:r>
    </w:p>
  </w:footnote>
  <w:footnote w:id="64">
    <w:p w:rsidR="003F2F8E" w:rsidRDefault="003F2F8E">
      <w:pPr>
        <w:pStyle w:val="Testonotaapidipagina"/>
      </w:pPr>
      <w:r>
        <w:rPr>
          <w:rStyle w:val="Rimandonotaapidipagina"/>
        </w:rPr>
        <w:footnoteRef/>
      </w:r>
      <w:r>
        <w:t xml:space="preserve"> </w:t>
      </w:r>
      <w:r>
        <w:tab/>
        <w:t>H0WITT, p. 567.</w:t>
      </w:r>
    </w:p>
  </w:footnote>
  <w:footnote w:id="65">
    <w:p w:rsidR="003F2F8E" w:rsidRDefault="003F2F8E">
      <w:pPr>
        <w:pStyle w:val="Testonotaapidipagina"/>
      </w:pPr>
      <w:r>
        <w:rPr>
          <w:rStyle w:val="Rimandonotaapidipagina"/>
        </w:rPr>
        <w:footnoteRef/>
      </w:r>
      <w:r>
        <w:t xml:space="preserve"> </w:t>
      </w:r>
      <w:r>
        <w:tab/>
        <w:t>Ibid., p. 557.</w:t>
      </w:r>
    </w:p>
  </w:footnote>
  <w:footnote w:id="66">
    <w:p w:rsidR="003F2F8E" w:rsidRDefault="003F2F8E">
      <w:pPr>
        <w:pStyle w:val="Testonotaapidipagina"/>
      </w:pPr>
      <w:r>
        <w:rPr>
          <w:rStyle w:val="Rimandonotaapidipagina"/>
        </w:rPr>
        <w:footnoteRef/>
      </w:r>
      <w:r>
        <w:t xml:space="preserve"> </w:t>
      </w:r>
      <w:r>
        <w:tab/>
        <w:t>lbid., p. 604; SPENCER et GILLEN, Nat. Tr., p. 351.</w:t>
      </w:r>
    </w:p>
  </w:footnote>
  <w:footnote w:id="67">
    <w:p w:rsidR="003F2F8E" w:rsidRDefault="003F2F8E">
      <w:pPr>
        <w:pStyle w:val="Testonotaapidipagina"/>
      </w:pPr>
      <w:r>
        <w:rPr>
          <w:rStyle w:val="Rimandonotaapidipagina"/>
        </w:rPr>
        <w:footnoteRef/>
      </w:r>
      <w:r>
        <w:t xml:space="preserve"> </w:t>
      </w:r>
      <w:r>
        <w:tab/>
        <w:t>HOWITT, p. 611.</w:t>
      </w:r>
    </w:p>
  </w:footnote>
  <w:footnote w:id="68">
    <w:p w:rsidR="003F2F8E" w:rsidRDefault="003F2F8E">
      <w:pPr>
        <w:pStyle w:val="Testonotaapidipagina"/>
      </w:pPr>
      <w:r>
        <w:rPr>
          <w:rStyle w:val="Rimandonotaapidipagina"/>
        </w:rPr>
        <w:footnoteRef/>
      </w:r>
      <w:r>
        <w:t xml:space="preserve"> </w:t>
      </w:r>
      <w:r>
        <w:tab/>
        <w:t>Ibid., p. 589.</w:t>
      </w:r>
    </w:p>
  </w:footnote>
  <w:footnote w:id="69">
    <w:p w:rsidR="003F2F8E" w:rsidRDefault="003F2F8E">
      <w:pPr>
        <w:pStyle w:val="Testonotaapidipagina"/>
      </w:pPr>
      <w:r>
        <w:rPr>
          <w:rStyle w:val="Rimandonotaapidipagina"/>
        </w:rPr>
        <w:footnoteRef/>
      </w:r>
      <w:r>
        <w:t xml:space="preserve"> </w:t>
      </w:r>
      <w:r>
        <w:tab/>
        <w:t xml:space="preserve">On peut rapprocher de ces pratiques ascétiques celles qui sont en usage lors de l'initiation du magicien. Tout comme le jeune néophyte, l'apprenti magicien est soumis à une multitude d'interdits dont l'observance contribue à lui faire acquérir ses pouvoirs spécifiques (v. L'origine des pouvoirs magiques, dans </w:t>
      </w:r>
      <w:r>
        <w:rPr>
          <w:i/>
          <w:iCs/>
        </w:rPr>
        <w:t xml:space="preserve">Mélanges d'histoire des religions, </w:t>
      </w:r>
      <w:r>
        <w:t xml:space="preserve">par Hubert et </w:t>
      </w:r>
      <w:r>
        <w:rPr>
          <w:i/>
          <w:iCs/>
        </w:rPr>
        <w:t xml:space="preserve">MAUSS, </w:t>
      </w:r>
      <w:r>
        <w:t>pp. 171, 173, 176). Il en est de même pour les époux à la veille ou au lendemain du mariage (tabous des fiancés et des jeunes mariés) ; c'est que le mariage implique également un grave changement d'état. Nous nous bornons à mentionner sommairement ces faits, sans nous y arrêter ; car les premiers concernent la magie qui n'est pas de notre sujet, et les seconds se rattachent à cet ensemble de règles juridico-religieuses qui se rapportent au commerce des sexes et dont l'étude ne sera possible que conjointement avec les autres préceptes de la morale conjugale primitive.</w:t>
      </w:r>
    </w:p>
  </w:footnote>
  <w:footnote w:id="70">
    <w:p w:rsidR="003F2F8E" w:rsidRDefault="003F2F8E">
      <w:pPr>
        <w:pStyle w:val="Testonotaapidipagina"/>
      </w:pPr>
      <w:r>
        <w:rPr>
          <w:rStyle w:val="Rimandonotaapidipagina"/>
        </w:rPr>
        <w:footnoteRef/>
      </w:r>
      <w:r>
        <w:t xml:space="preserve"> </w:t>
      </w:r>
      <w:r>
        <w:tab/>
        <w:t xml:space="preserve">Preuss, il est vrai, interprète ces faits en disant que la douleur est un moyen d'accroître la force magique de l'homme </w:t>
      </w:r>
      <w:r>
        <w:rPr>
          <w:i/>
          <w:iCs/>
        </w:rPr>
        <w:t xml:space="preserve">(die menschliche Zauberkraft) ; on </w:t>
      </w:r>
      <w:r>
        <w:t>pourrait croire, d'après cette expression, que la souffrance est un rite magique, et non religieux. Mais, comme nous l'avons déjà dit, Preuss appelle magiques, sans beaucoup de précision, toutes les forces anonymes et impersonnelles, qu'elles ressortissent à la magie ou à la religion. Sans doute, il y a des tortures qui servent à faire des magiciens ; mais beaucoup de celles qu'il nous décrit font partie de cérémonies proprement religieuses et, par conséquent, c'est l'état religieux des individus qu'elles ont pour objet de modifier.</w:t>
      </w:r>
    </w:p>
  </w:footnote>
  <w:footnote w:id="71">
    <w:p w:rsidR="003F2F8E" w:rsidRDefault="003F2F8E">
      <w:pPr>
        <w:pStyle w:val="Testonotaapidipagina"/>
      </w:pPr>
      <w:r>
        <w:rPr>
          <w:rStyle w:val="Rimandonotaapidipagina"/>
        </w:rPr>
        <w:footnoteRef/>
      </w:r>
      <w:r>
        <w:t xml:space="preserve"> </w:t>
      </w:r>
      <w:r>
        <w:tab/>
        <w:t xml:space="preserve">Preuss, Der Ursprung der Religion und der Kunst, </w:t>
      </w:r>
      <w:r>
        <w:rPr>
          <w:i/>
          <w:iCs/>
        </w:rPr>
        <w:t xml:space="preserve">Globus, </w:t>
      </w:r>
      <w:r>
        <w:t>LXXXVII, p. 309-400. Preuss classe sous la même rubrique un grand nombre de rites disparates, par exemple des effusions de sang qui agissent en raison des qualités positives attribuées au sang, et non à cause des souffrances qu'elles impliquent. Nous ne retenons que les faits où la douleur est l'élément essentiel du rite et la cause de son efficacité.</w:t>
      </w:r>
    </w:p>
  </w:footnote>
  <w:footnote w:id="72">
    <w:p w:rsidR="003F2F8E" w:rsidRDefault="003F2F8E">
      <w:pPr>
        <w:pStyle w:val="Testonotaapidipagina"/>
      </w:pPr>
      <w:r>
        <w:rPr>
          <w:rStyle w:val="Rimandonotaapidipagina"/>
        </w:rPr>
        <w:footnoteRef/>
      </w:r>
      <w:r>
        <w:t xml:space="preserve"> </w:t>
      </w:r>
      <w:r>
        <w:tab/>
        <w:t>North. Tr., pp. 331-332.</w:t>
      </w:r>
    </w:p>
  </w:footnote>
  <w:footnote w:id="73">
    <w:p w:rsidR="003F2F8E" w:rsidRDefault="003F2F8E">
      <w:pPr>
        <w:pStyle w:val="Testonotaapidipagina"/>
      </w:pPr>
      <w:r>
        <w:rPr>
          <w:rStyle w:val="Rimandonotaapidipagina"/>
        </w:rPr>
        <w:footnoteRef/>
      </w:r>
      <w:r>
        <w:t xml:space="preserve"> </w:t>
      </w:r>
      <w:r>
        <w:tab/>
        <w:t>Ibid., p. 335. On trouve une pratique similaire chez les Dierï (HOWITT, Nat. Tr., p. 658 et suiv.).</w:t>
      </w:r>
    </w:p>
  </w:footnote>
  <w:footnote w:id="74">
    <w:p w:rsidR="003F2F8E" w:rsidRDefault="003F2F8E">
      <w:pPr>
        <w:pStyle w:val="Testonotaapidipagina"/>
      </w:pPr>
      <w:r>
        <w:rPr>
          <w:rStyle w:val="Rimandonotaapidipagina"/>
        </w:rPr>
        <w:footnoteRef/>
      </w:r>
      <w:r>
        <w:t xml:space="preserve"> </w:t>
      </w:r>
      <w:r>
        <w:tab/>
        <w:t>SPENCER et GILLEN, Nat. Tr., p. 214 et suiv. - On voit par cet exemple que les rites d'initiation ont parfois tous les caractères de la brimade. C'est qu'en effet la brimade est une véritable institution sociale qui prend spontanément naissance toutes les fois que deux groupes, inégaux par leur situation morale et sociale, se trouvent intimement en contact. Dans ce cas, celui qui se considère comme supérieur à l'autre résiste à l'intrusion des nouveaux venus : il réagit contre eux de manière à leur faire sentir la supériorité dont il a le sentiment. Cette réaction, qui se produit automatiquement et qui prend naturellement la forme de sévices plus ou moins graves, est destinée, en même temps, à plier les individus à leur nouvelle existence, à les assimiler à leur nouveau milieu. Elle constitue donc une sorte d'initiation. On s'explique ainsi que l'initiation, de son côté, constitue une sorte de brimade. C'est que le groupe des anciens est supérieur en dignité religieuse et morale à celui des jeunes et que, pourtant, le premier doit s'assimiler le second. Toutes les conditions de la brimade sont donc données.</w:t>
      </w:r>
    </w:p>
  </w:footnote>
  <w:footnote w:id="75">
    <w:p w:rsidR="003F2F8E" w:rsidRDefault="003F2F8E">
      <w:pPr>
        <w:pStyle w:val="Testonotaapidipagina"/>
      </w:pPr>
      <w:r>
        <w:rPr>
          <w:rStyle w:val="Rimandonotaapidipagina"/>
        </w:rPr>
        <w:footnoteRef/>
      </w:r>
      <w:r>
        <w:t xml:space="preserve"> </w:t>
      </w:r>
      <w:r>
        <w:tab/>
        <w:t>SPENCER et GILLEN, Nat. Tr., p. 372.</w:t>
      </w:r>
    </w:p>
  </w:footnote>
  <w:footnote w:id="76">
    <w:p w:rsidR="003F2F8E" w:rsidRDefault="003F2F8E">
      <w:pPr>
        <w:pStyle w:val="Testonotaapidipagina"/>
      </w:pPr>
      <w:r>
        <w:rPr>
          <w:rStyle w:val="Rimandonotaapidipagina"/>
        </w:rPr>
        <w:footnoteRef/>
      </w:r>
      <w:r>
        <w:t xml:space="preserve"> </w:t>
      </w:r>
      <w:r>
        <w:tab/>
        <w:t>Ibid., p. 335.</w:t>
      </w:r>
    </w:p>
  </w:footnote>
  <w:footnote w:id="77">
    <w:p w:rsidR="003F2F8E" w:rsidRDefault="003F2F8E">
      <w:pPr>
        <w:pStyle w:val="Testonotaapidipagina"/>
      </w:pPr>
      <w:r>
        <w:rPr>
          <w:rStyle w:val="Rimandonotaapidipagina"/>
        </w:rPr>
        <w:footnoteRef/>
      </w:r>
      <w:r>
        <w:t xml:space="preserve"> </w:t>
      </w:r>
      <w:r>
        <w:tab/>
        <w:t>HOWITT, Nat. Tr., p. 675.</w:t>
      </w:r>
    </w:p>
  </w:footnote>
  <w:footnote w:id="78">
    <w:p w:rsidR="003F2F8E" w:rsidRDefault="003F2F8E">
      <w:pPr>
        <w:pStyle w:val="Testonotaapidipagina"/>
      </w:pPr>
      <w:r>
        <w:rPr>
          <w:rStyle w:val="Rimandonotaapidipagina"/>
        </w:rPr>
        <w:footnoteRef/>
      </w:r>
      <w:r>
        <w:t xml:space="preserve"> </w:t>
      </w:r>
      <w:r>
        <w:tab/>
        <w:t>HOWITT, Nat. Tr., pp. 569, 604.</w:t>
      </w:r>
    </w:p>
  </w:footnote>
  <w:footnote w:id="79">
    <w:p w:rsidR="003F2F8E" w:rsidRDefault="003F2F8E">
      <w:pPr>
        <w:pStyle w:val="Testonotaapidipagina"/>
      </w:pPr>
      <w:r>
        <w:rPr>
          <w:rStyle w:val="Rimandonotaapidipagina"/>
        </w:rPr>
        <w:footnoteRef/>
      </w:r>
      <w:r>
        <w:t xml:space="preserve"> </w:t>
      </w:r>
      <w:r>
        <w:tab/>
        <w:t>SPENCER et GILLEN, Nat. Tr., p. 251; North. Tr., pp. 341, 352.</w:t>
      </w:r>
    </w:p>
  </w:footnote>
  <w:footnote w:id="80">
    <w:p w:rsidR="003F2F8E" w:rsidRDefault="003F2F8E">
      <w:pPr>
        <w:pStyle w:val="Testonotaapidipagina"/>
      </w:pPr>
      <w:r>
        <w:rPr>
          <w:rStyle w:val="Rimandonotaapidipagina"/>
        </w:rPr>
        <w:footnoteRef/>
      </w:r>
      <w:r>
        <w:t xml:space="preserve"> </w:t>
      </w:r>
      <w:r>
        <w:tab/>
        <w:t>Aussi chez les Warramunga, l'opération doit-elle être faite par des sujets qui sont favorisés d'une belle chevelure.</w:t>
      </w:r>
    </w:p>
  </w:footnote>
  <w:footnote w:id="81">
    <w:p w:rsidR="003F2F8E" w:rsidRDefault="003F2F8E">
      <w:pPr>
        <w:pStyle w:val="Testonotaapidipagina"/>
      </w:pPr>
      <w:r>
        <w:rPr>
          <w:rStyle w:val="Rimandonotaapidipagina"/>
        </w:rPr>
        <w:footnoteRef/>
      </w:r>
      <w:r>
        <w:t xml:space="preserve"> </w:t>
      </w:r>
      <w:r>
        <w:tab/>
        <w:t>HOWITT, Nat. Tr., p. 675 ; il s'agit des tribus du Darling inférieur.</w:t>
      </w:r>
    </w:p>
  </w:footnote>
  <w:footnote w:id="82">
    <w:p w:rsidR="003F2F8E" w:rsidRDefault="003F2F8E">
      <w:pPr>
        <w:pStyle w:val="Testonotaapidipagina"/>
      </w:pPr>
      <w:r>
        <w:rPr>
          <w:rStyle w:val="Rimandonotaapidipagina"/>
        </w:rPr>
        <w:footnoteRef/>
      </w:r>
      <w:r>
        <w:t xml:space="preserve"> </w:t>
      </w:r>
      <w:r>
        <w:tab/>
        <w:t>EYLMANN, Op. cit., p. 212.</w:t>
      </w:r>
    </w:p>
  </w:footnote>
  <w:footnote w:id="83">
    <w:p w:rsidR="003F2F8E" w:rsidRDefault="003F2F8E">
      <w:pPr>
        <w:pStyle w:val="Testonotaapidipagina"/>
      </w:pPr>
      <w:r>
        <w:rPr>
          <w:rStyle w:val="Rimandonotaapidipagina"/>
        </w:rPr>
        <w:footnoteRef/>
      </w:r>
      <w:r>
        <w:t xml:space="preserve"> </w:t>
      </w:r>
      <w:r>
        <w:tab/>
        <w:t>Ibid.</w:t>
      </w:r>
    </w:p>
  </w:footnote>
  <w:footnote w:id="84">
    <w:p w:rsidR="003F2F8E" w:rsidRDefault="003F2F8E">
      <w:pPr>
        <w:pStyle w:val="Testonotaapidipagina"/>
      </w:pPr>
      <w:r>
        <w:rPr>
          <w:rStyle w:val="Rimandonotaapidipagina"/>
        </w:rPr>
        <w:footnoteRef/>
      </w:r>
      <w:r>
        <w:t xml:space="preserve"> </w:t>
      </w:r>
      <w:r>
        <w:tab/>
        <w:t>On trouvera des indications sur cette question dans notre mémoire sur La prohibition de l'inceste et ses origines (Année sociologique, I, p. 1 et suiv.), et dans CRAWLEY, Mystic Rose, p. 37 et suiv.</w:t>
      </w:r>
    </w:p>
  </w:footnote>
  <w:footnote w:id="85">
    <w:p w:rsidR="003F2F8E" w:rsidRDefault="003F2F8E">
      <w:pPr>
        <w:pStyle w:val="Testonotaapidipagina"/>
      </w:pPr>
      <w:r>
        <w:rPr>
          <w:rStyle w:val="Rimandonotaapidipagina"/>
        </w:rPr>
        <w:footnoteRef/>
      </w:r>
      <w:r>
        <w:t xml:space="preserve"> </w:t>
      </w:r>
      <w:r>
        <w:tab/>
        <w:t>SPENCER et GILLEN, Nat. Tr., p. 133.</w:t>
      </w:r>
    </w:p>
  </w:footnote>
  <w:footnote w:id="86">
    <w:p w:rsidR="003F2F8E" w:rsidRDefault="003F2F8E">
      <w:pPr>
        <w:pStyle w:val="Testonotaapidipagina"/>
      </w:pPr>
      <w:r>
        <w:rPr>
          <w:rStyle w:val="Rimandonotaapidipagina"/>
        </w:rPr>
        <w:footnoteRef/>
      </w:r>
      <w:r>
        <w:t xml:space="preserve"> </w:t>
      </w:r>
      <w:r>
        <w:tab/>
        <w:t>V. plus haut, p. 170.</w:t>
      </w:r>
    </w:p>
  </w:footnote>
  <w:footnote w:id="87">
    <w:p w:rsidR="003F2F8E" w:rsidRDefault="003F2F8E">
      <w:pPr>
        <w:pStyle w:val="Testonotaapidipagina"/>
      </w:pPr>
      <w:r>
        <w:rPr>
          <w:rStyle w:val="Rimandonotaapidipagina"/>
        </w:rPr>
        <w:footnoteRef/>
      </w:r>
      <w:r>
        <w:t xml:space="preserve"> </w:t>
      </w:r>
      <w:r>
        <w:tab/>
        <w:t>SPENCER et GILLEN, Nat. Tr., p. 134-135; STREHLOW, II, p. 78.</w:t>
      </w:r>
    </w:p>
  </w:footnote>
  <w:footnote w:id="88">
    <w:p w:rsidR="003F2F8E" w:rsidRDefault="003F2F8E">
      <w:pPr>
        <w:pStyle w:val="Testonotaapidipagina"/>
      </w:pPr>
      <w:r>
        <w:rPr>
          <w:rStyle w:val="Rimandonotaapidipagina"/>
        </w:rPr>
        <w:footnoteRef/>
      </w:r>
      <w:r>
        <w:t xml:space="preserve"> </w:t>
      </w:r>
      <w:r>
        <w:tab/>
        <w:t>SPENCER et GILLEN, North. Tr., pp. 167, 299.</w:t>
      </w:r>
    </w:p>
  </w:footnote>
  <w:footnote w:id="89">
    <w:p w:rsidR="003F2F8E" w:rsidRDefault="003F2F8E">
      <w:pPr>
        <w:pStyle w:val="Testonotaapidipagina"/>
      </w:pPr>
      <w:r>
        <w:rPr>
          <w:rStyle w:val="Rimandonotaapidipagina"/>
        </w:rPr>
        <w:footnoteRef/>
      </w:r>
      <w:r>
        <w:t xml:space="preserve"> </w:t>
      </w:r>
      <w:r>
        <w:tab/>
        <w:t>En dehors des rites ascétiques dont nous avons parlé, il en est de positifs qui ont pour objet de charger, ou, comme dit Howitt, de saturer l'initié de religiosité (HOWITT, Nat. Tr., p. 535). Howitt, il est vrai, au lieu de religiosité, parle de pouvoirs magiques; mais on sait que pour la plupart des ethnographes, ce mot signifie simplement vertus religieuses de nature impersonnelle.</w:t>
      </w:r>
    </w:p>
  </w:footnote>
  <w:footnote w:id="90">
    <w:p w:rsidR="003F2F8E" w:rsidRDefault="003F2F8E">
      <w:pPr>
        <w:pStyle w:val="Testonotaapidipagina"/>
      </w:pPr>
      <w:r>
        <w:rPr>
          <w:rStyle w:val="Rimandonotaapidipagina"/>
        </w:rPr>
        <w:footnoteRef/>
      </w:r>
      <w:r>
        <w:t xml:space="preserve"> </w:t>
      </w:r>
      <w:r>
        <w:tab/>
        <w:t>HOWITT, ibid., pp. 674-675.</w:t>
      </w:r>
    </w:p>
  </w:footnote>
  <w:footnote w:id="91">
    <w:p w:rsidR="003F2F8E" w:rsidRDefault="003F2F8E">
      <w:pPr>
        <w:pStyle w:val="Testonotaapidipagina"/>
      </w:pPr>
      <w:r>
        <w:rPr>
          <w:rStyle w:val="Rimandonotaapidipagina"/>
        </w:rPr>
        <w:footnoteRef/>
      </w:r>
      <w:r>
        <w:t xml:space="preserve"> </w:t>
      </w:r>
      <w:r>
        <w:tab/>
        <w:t>SPENCER et GILLEN, Nat. Tr., p. 454. Cf. HOWITT, Nat. Tr., p. 561.</w:t>
      </w:r>
    </w:p>
  </w:footnote>
  <w:footnote w:id="92">
    <w:p w:rsidR="003F2F8E" w:rsidRDefault="003F2F8E">
      <w:pPr>
        <w:pStyle w:val="Testonotaapidipagina"/>
      </w:pPr>
      <w:r>
        <w:rPr>
          <w:rStyle w:val="Rimandonotaapidipagina"/>
        </w:rPr>
        <w:footnoteRef/>
      </w:r>
      <w:r>
        <w:t xml:space="preserve"> </w:t>
      </w:r>
      <w:r>
        <w:tab/>
        <w:t>HOWITT, Nat. Tr., p. 557.</w:t>
      </w:r>
    </w:p>
  </w:footnote>
  <w:footnote w:id="93">
    <w:p w:rsidR="003F2F8E" w:rsidRDefault="003F2F8E">
      <w:pPr>
        <w:pStyle w:val="Testonotaapidipagina"/>
      </w:pPr>
      <w:r>
        <w:rPr>
          <w:rStyle w:val="Rimandonotaapidipagina"/>
        </w:rPr>
        <w:footnoteRef/>
      </w:r>
      <w:r>
        <w:t xml:space="preserve"> </w:t>
      </w:r>
      <w:r>
        <w:tab/>
        <w:t>HOWITT, Ibid., p. 560.</w:t>
      </w:r>
    </w:p>
  </w:footnote>
  <w:footnote w:id="94">
    <w:p w:rsidR="003F2F8E" w:rsidRDefault="003F2F8E">
      <w:pPr>
        <w:pStyle w:val="Testonotaapidipagina"/>
      </w:pPr>
      <w:r>
        <w:rPr>
          <w:rStyle w:val="Rimandonotaapidipagina"/>
        </w:rPr>
        <w:footnoteRef/>
      </w:r>
      <w:r>
        <w:t xml:space="preserve"> </w:t>
      </w:r>
      <w:r>
        <w:tab/>
        <w:t>V. plus haut, p. 433, 436. Cf. SPENCER et GiLLEN, Nat. Tr., p. 498 ; North. Tr., pp. 506, 507, 518-519, 526; HOWITT, Nat. Tr., p. 449, 461, 469; MATHEWS, in Journal R. S. of N. S. Wales, XXXVIII, p. 274; SCHULZE, loc. cit., p. 231 ; WYATT, Adelaide and Encounter Bay Tribes, in WOODS, pp. 165, 198.</w:t>
      </w:r>
    </w:p>
  </w:footnote>
  <w:footnote w:id="95">
    <w:p w:rsidR="003F2F8E" w:rsidRDefault="003F2F8E">
      <w:pPr>
        <w:pStyle w:val="Testonotaapidipagina"/>
      </w:pPr>
      <w:r>
        <w:rPr>
          <w:rStyle w:val="Rimandonotaapidipagina"/>
        </w:rPr>
        <w:footnoteRef/>
      </w:r>
      <w:r>
        <w:t xml:space="preserve"> </w:t>
      </w:r>
      <w:r>
        <w:tab/>
        <w:t>Australian Aborigines, p. 42.</w:t>
      </w:r>
    </w:p>
  </w:footnote>
  <w:footnote w:id="96">
    <w:p w:rsidR="003F2F8E" w:rsidRDefault="003F2F8E">
      <w:pPr>
        <w:pStyle w:val="Testonotaapidipagina"/>
      </w:pPr>
      <w:r>
        <w:rPr>
          <w:rStyle w:val="Rimandonotaapidipagina"/>
        </w:rPr>
        <w:footnoteRef/>
      </w:r>
      <w:r>
        <w:t xml:space="preserve"> </w:t>
      </w:r>
      <w:r>
        <w:tab/>
        <w:t>HOWITT, Nat. Tr., pp. 470-471.</w:t>
      </w:r>
    </w:p>
  </w:footnote>
  <w:footnote w:id="97">
    <w:p w:rsidR="003F2F8E" w:rsidRDefault="003F2F8E">
      <w:pPr>
        <w:pStyle w:val="Testonotaapidipagina"/>
      </w:pPr>
      <w:r>
        <w:rPr>
          <w:rStyle w:val="Rimandonotaapidipagina"/>
        </w:rPr>
        <w:footnoteRef/>
      </w:r>
      <w:r>
        <w:t xml:space="preserve"> </w:t>
      </w:r>
      <w:r>
        <w:tab/>
        <w:t>V. sur cette question Robertson SMITH, The Religion of the Semites, pp. 152 et suiv., 446,481; FRAZER, article« Taboo » dans l'Encyclopedia Britannica; JEVONS, Introduction to the History of Religion, p. 59 et suiv. ; CRAWLEY, Mystic Rose, chap. Il-IX VAN GENNEP, Tabou et totémisme à Madagascar, chap. III.</w:t>
      </w:r>
    </w:p>
  </w:footnote>
  <w:footnote w:id="98">
    <w:p w:rsidR="003F2F8E" w:rsidRDefault="003F2F8E">
      <w:pPr>
        <w:pStyle w:val="Testonotaapidipagina"/>
      </w:pPr>
      <w:r>
        <w:rPr>
          <w:rStyle w:val="Rimandonotaapidipagina"/>
        </w:rPr>
        <w:footnoteRef/>
      </w:r>
      <w:r>
        <w:t xml:space="preserve"> </w:t>
      </w:r>
      <w:r>
        <w:tab/>
        <w:t>V. les références plus haut, p. 182, no 1. Cf. SPENGER et GILLEN, North. Tr., p. 323, 324; Nat. Tr., p. 168; TAPLIN, The Narrinyeri, p. 16 ; ROTH, North Queensland Ethnography, Bull. 10, in Records of the Australian Museum, VII, p. 76.</w:t>
      </w:r>
    </w:p>
  </w:footnote>
  <w:footnote w:id="99">
    <w:p w:rsidR="003F2F8E" w:rsidRDefault="003F2F8E">
      <w:pPr>
        <w:pStyle w:val="Testonotaapidipagina"/>
      </w:pPr>
      <w:r>
        <w:rPr>
          <w:rStyle w:val="Rimandonotaapidipagina"/>
        </w:rPr>
        <w:footnoteRef/>
      </w:r>
      <w:r>
        <w:t xml:space="preserve"> </w:t>
      </w:r>
      <w:r>
        <w:tab/>
        <w:t>Nous rappelons que, quand l'interdit violé est religieux, ces sanctions ne sont pas les seules; il y a, en outre, ou une peine proprement dite ou une flétrissure de l'opinion.</w:t>
      </w:r>
    </w:p>
  </w:footnote>
  <w:footnote w:id="100">
    <w:p w:rsidR="003F2F8E" w:rsidRDefault="003F2F8E">
      <w:pPr>
        <w:pStyle w:val="Testonotaapidipagina"/>
      </w:pPr>
      <w:r>
        <w:rPr>
          <w:rStyle w:val="Rimandonotaapidipagina"/>
        </w:rPr>
        <w:footnoteRef/>
      </w:r>
      <w:r>
        <w:t xml:space="preserve"> </w:t>
      </w:r>
      <w:r>
        <w:tab/>
        <w:t>V. Jevons, Introduction to the History of Religion, pp. 67-68. Nous ne dirons rien de la théorie, d'ailleurs peu explicite, de CRAWLEY (Mystic Rose, chap. IV-VII) d'après laquelle la contagiosité des tabous serait due à une interprétation erronée de certains phénomènes de contage. Elle est arbitraire. Comme Jevons en fait très justement la remarque dans le passage auquel nous renvoyons, le caractère contagieux du sacré est affirmé a priori, et non sur la foi d'expériences mal interprétées.</w:t>
      </w:r>
    </w:p>
  </w:footnote>
  <w:footnote w:id="101">
    <w:p w:rsidR="003F2F8E" w:rsidRDefault="003F2F8E">
      <w:pPr>
        <w:pStyle w:val="Testonotaapidipagina"/>
      </w:pPr>
      <w:r>
        <w:rPr>
          <w:rStyle w:val="Rimandonotaapidipagina"/>
        </w:rPr>
        <w:footnoteRef/>
      </w:r>
      <w:r>
        <w:t xml:space="preserve"> </w:t>
      </w:r>
      <w:r>
        <w:tab/>
        <w:t>V. plus haut, p. 328.</w:t>
      </w:r>
    </w:p>
  </w:footnote>
  <w:footnote w:id="102">
    <w:p w:rsidR="003F2F8E" w:rsidRDefault="003F2F8E">
      <w:pPr>
        <w:pStyle w:val="Testonotaapidipagina"/>
      </w:pPr>
      <w:r>
        <w:rPr>
          <w:rStyle w:val="Rimandonotaapidipagina"/>
        </w:rPr>
        <w:footnoteRef/>
      </w:r>
      <w:r>
        <w:t xml:space="preserve"> </w:t>
      </w:r>
      <w:r>
        <w:tab/>
        <w:t>V. p. 277.</w:t>
      </w:r>
    </w:p>
  </w:footnote>
  <w:footnote w:id="103">
    <w:p w:rsidR="003F2F8E" w:rsidRDefault="003F2F8E">
      <w:pPr>
        <w:pStyle w:val="Testonotaapidipagina"/>
      </w:pPr>
      <w:r>
        <w:rPr>
          <w:rStyle w:val="Rimandonotaapidipagina"/>
        </w:rPr>
        <w:footnoteRef/>
      </w:r>
      <w:r>
        <w:t xml:space="preserve"> </w:t>
      </w:r>
      <w:r>
        <w:tab/>
        <w:t>V. plus haut, pp. 284-285.</w:t>
      </w:r>
    </w:p>
  </w:footnote>
  <w:footnote w:id="104">
    <w:p w:rsidR="003F2F8E" w:rsidRDefault="003F2F8E">
      <w:pPr>
        <w:pStyle w:val="Testonotaapidipagina"/>
      </w:pPr>
      <w:r>
        <w:rPr>
          <w:rStyle w:val="Rimandonotaapidipagina"/>
        </w:rPr>
        <w:footnoteRef/>
      </w:r>
      <w:r>
        <w:t xml:space="preserve"> </w:t>
      </w:r>
      <w:r>
        <w:tab/>
        <w:t>C'est ce qu'a bien montré Preuss dans les articles du Globus que nous avons déjà cités.</w:t>
      </w:r>
    </w:p>
  </w:footnote>
  <w:footnote w:id="105">
    <w:p w:rsidR="003F2F8E" w:rsidRDefault="003F2F8E">
      <w:pPr>
        <w:pStyle w:val="Testonotaapidipagina"/>
      </w:pPr>
      <w:r>
        <w:rPr>
          <w:rStyle w:val="Rimandonotaapidipagina"/>
        </w:rPr>
        <w:footnoteRef/>
      </w:r>
      <w:r>
        <w:t xml:space="preserve"> </w:t>
      </w:r>
      <w:r>
        <w:tab/>
        <w:t>Il est vrai que cette contagiosité n'est pas spéciale aux forces religieuses; celles qui ressortissent à la magie ont la même propriété, et, cependant, il est évident qu'elles ne correspondent pas à des sentiments sociaux objectivés. Mais c'est que les forces magiques ont été conçues sur le modèle des forces religieuses. Nous revenons plus loin sur ce point (v. p. 516).</w:t>
      </w:r>
    </w:p>
  </w:footnote>
  <w:footnote w:id="106">
    <w:p w:rsidR="003F2F8E" w:rsidRDefault="003F2F8E">
      <w:pPr>
        <w:pStyle w:val="Testonotaapidipagina"/>
      </w:pPr>
      <w:r>
        <w:rPr>
          <w:rStyle w:val="Rimandonotaapidipagina"/>
        </w:rPr>
        <w:footnoteRef/>
      </w:r>
      <w:r>
        <w:t xml:space="preserve"> </w:t>
      </w:r>
      <w:r>
        <w:tab/>
        <w:t>V. plus haut p. 336 et suiv.</w:t>
      </w:r>
    </w:p>
  </w:footnote>
  <w:footnote w:id="107">
    <w:p w:rsidR="003F2F8E" w:rsidRDefault="003F2F8E">
      <w:pPr>
        <w:pStyle w:val="Testonotaapidipagina"/>
      </w:pPr>
      <w:r>
        <w:rPr>
          <w:rStyle w:val="Rimandonotaapidipagina"/>
        </w:rPr>
        <w:footnoteRef/>
      </w:r>
      <w:r>
        <w:t xml:space="preserve"> </w:t>
      </w:r>
      <w:r>
        <w:tab/>
        <w:t>STREHLOW, I, p. 4.</w:t>
      </w:r>
    </w:p>
  </w:footnote>
  <w:footnote w:id="108">
    <w:p w:rsidR="003F2F8E" w:rsidRDefault="003F2F8E">
      <w:pPr>
        <w:pStyle w:val="Testonotaapidipagina"/>
      </w:pPr>
      <w:r>
        <w:rPr>
          <w:rStyle w:val="Rimandonotaapidipagina"/>
        </w:rPr>
        <w:footnoteRef/>
      </w:r>
      <w:r>
        <w:t xml:space="preserve"> </w:t>
      </w:r>
      <w:r>
        <w:tab/>
        <w:t>Bien entendu, le mot qui désigne cette fête change avec les tribus, Les Urabunna l'appellent Pitjinta (North. Tr., p. 284) ; les Warramunga Thalaminta (ibid., p. 297), etc.</w:t>
      </w:r>
    </w:p>
  </w:footnote>
  <w:footnote w:id="109">
    <w:p w:rsidR="003F2F8E" w:rsidRDefault="003F2F8E">
      <w:pPr>
        <w:pStyle w:val="Testonotaapidipagina"/>
      </w:pPr>
      <w:r>
        <w:rPr>
          <w:rStyle w:val="Rimandonotaapidipagina"/>
        </w:rPr>
        <w:footnoteRef/>
      </w:r>
      <w:r>
        <w:t xml:space="preserve"> </w:t>
      </w:r>
      <w:r>
        <w:tab/>
        <w:t>Schulze, loc. cit., p. 243; SPENCER et GILLEN, Nat. Tra., pp. 169-170.</w:t>
      </w:r>
    </w:p>
  </w:footnote>
  <w:footnote w:id="110">
    <w:p w:rsidR="003F2F8E" w:rsidRDefault="003F2F8E">
      <w:pPr>
        <w:pStyle w:val="Testonotaapidipagina"/>
      </w:pPr>
      <w:r>
        <w:rPr>
          <w:rStyle w:val="Rimandonotaapidipagina"/>
        </w:rPr>
        <w:footnoteRef/>
      </w:r>
      <w:r>
        <w:t xml:space="preserve"> </w:t>
      </w:r>
      <w:r>
        <w:tab/>
        <w:t>SPENCER et GiLLEN, Nat. Tr., p. 170 et suiv.</w:t>
      </w:r>
    </w:p>
  </w:footnote>
  <w:footnote w:id="111">
    <w:p w:rsidR="003F2F8E" w:rsidRDefault="003F2F8E">
      <w:pPr>
        <w:pStyle w:val="Testonotaapidipagina"/>
      </w:pPr>
      <w:r>
        <w:rPr>
          <w:rStyle w:val="Rimandonotaapidipagina"/>
        </w:rPr>
        <w:footnoteRef/>
      </w:r>
      <w:r>
        <w:t xml:space="preserve"> </w:t>
      </w:r>
      <w:r>
        <w:tab/>
        <w:t>Bien entendu, les femmes sont soumises à la même obligation.</w:t>
      </w:r>
    </w:p>
  </w:footnote>
  <w:footnote w:id="112">
    <w:p w:rsidR="003F2F8E" w:rsidRDefault="003F2F8E">
      <w:pPr>
        <w:pStyle w:val="Testonotaapidipagina"/>
      </w:pPr>
      <w:r>
        <w:rPr>
          <w:rStyle w:val="Rimandonotaapidipagina"/>
        </w:rPr>
        <w:footnoteRef/>
      </w:r>
      <w:r>
        <w:t xml:space="preserve"> </w:t>
      </w:r>
      <w:r>
        <w:tab/>
        <w:t>L'Apmara est le seul objet qui ait été emporté du camp.</w:t>
      </w:r>
    </w:p>
  </w:footnote>
  <w:footnote w:id="113">
    <w:p w:rsidR="003F2F8E" w:rsidRDefault="003F2F8E">
      <w:pPr>
        <w:pStyle w:val="Testonotaapidipagina"/>
      </w:pPr>
      <w:r>
        <w:rPr>
          <w:rStyle w:val="Rimandonotaapidipagina"/>
        </w:rPr>
        <w:footnoteRef/>
      </w:r>
      <w:r>
        <w:t xml:space="preserve"> </w:t>
      </w:r>
      <w:r>
        <w:tab/>
        <w:t>Nat. Tr., pp. 185-186.</w:t>
      </w:r>
    </w:p>
  </w:footnote>
  <w:footnote w:id="114">
    <w:p w:rsidR="003F2F8E" w:rsidRDefault="003F2F8E">
      <w:pPr>
        <w:pStyle w:val="Testonotaapidipagina"/>
      </w:pPr>
      <w:r>
        <w:rPr>
          <w:rStyle w:val="Rimandonotaapidipagina"/>
        </w:rPr>
        <w:footnoteRef/>
      </w:r>
      <w:r>
        <w:t xml:space="preserve"> </w:t>
      </w:r>
      <w:r>
        <w:tab/>
        <w:t>North. Tr., p. 288.</w:t>
      </w:r>
    </w:p>
  </w:footnote>
  <w:footnote w:id="115">
    <w:p w:rsidR="003F2F8E" w:rsidRDefault="003F2F8E">
      <w:pPr>
        <w:pStyle w:val="Testonotaapidipagina"/>
      </w:pPr>
      <w:r>
        <w:rPr>
          <w:rStyle w:val="Rimandonotaapidipagina"/>
        </w:rPr>
        <w:footnoteRef/>
      </w:r>
      <w:r>
        <w:t xml:space="preserve"> </w:t>
      </w:r>
      <w:r>
        <w:tab/>
        <w:t>Ibid.</w:t>
      </w:r>
    </w:p>
  </w:footnote>
  <w:footnote w:id="116">
    <w:p w:rsidR="003F2F8E" w:rsidRDefault="003F2F8E">
      <w:pPr>
        <w:pStyle w:val="Testonotaapidipagina"/>
      </w:pPr>
      <w:r>
        <w:rPr>
          <w:rStyle w:val="Rimandonotaapidipagina"/>
        </w:rPr>
        <w:footnoteRef/>
      </w:r>
      <w:r>
        <w:t xml:space="preserve"> </w:t>
      </w:r>
      <w:r>
        <w:tab/>
        <w:t>North. Tr., p. 312.</w:t>
      </w:r>
    </w:p>
  </w:footnote>
  <w:footnote w:id="117">
    <w:p w:rsidR="003F2F8E" w:rsidRDefault="003F2F8E">
      <w:pPr>
        <w:pStyle w:val="Testonotaapidipagina"/>
      </w:pPr>
      <w:r>
        <w:rPr>
          <w:rStyle w:val="Rimandonotaapidipagina"/>
        </w:rPr>
        <w:footnoteRef/>
      </w:r>
      <w:r>
        <w:t xml:space="preserve"> </w:t>
      </w:r>
      <w:r>
        <w:tab/>
        <w:t>Ibid.</w:t>
      </w:r>
    </w:p>
  </w:footnote>
  <w:footnote w:id="118">
    <w:p w:rsidR="003F2F8E" w:rsidRDefault="003F2F8E">
      <w:pPr>
        <w:pStyle w:val="Testonotaapidipagina"/>
      </w:pPr>
      <w:r>
        <w:rPr>
          <w:rStyle w:val="Rimandonotaapidipagina"/>
        </w:rPr>
        <w:footnoteRef/>
      </w:r>
      <w:r>
        <w:t xml:space="preserve"> </w:t>
      </w:r>
      <w:r>
        <w:tab/>
        <w:t>Nous verrons plus loin que ces clans sont beaucoup plus nombreux que ne le disent Spencer et Gillen.</w:t>
      </w:r>
    </w:p>
  </w:footnote>
  <w:footnote w:id="119">
    <w:p w:rsidR="003F2F8E" w:rsidRDefault="003F2F8E">
      <w:pPr>
        <w:pStyle w:val="Testonotaapidipagina"/>
      </w:pPr>
      <w:r>
        <w:rPr>
          <w:rStyle w:val="Rimandonotaapidipagina"/>
        </w:rPr>
        <w:footnoteRef/>
      </w:r>
      <w:r>
        <w:t xml:space="preserve"> </w:t>
      </w:r>
      <w:r>
        <w:tab/>
        <w:t>Nat. Tr., pp. 184-185.</w:t>
      </w:r>
    </w:p>
  </w:footnote>
  <w:footnote w:id="120">
    <w:p w:rsidR="003F2F8E" w:rsidRDefault="003F2F8E">
      <w:pPr>
        <w:pStyle w:val="Testonotaapidipagina"/>
      </w:pPr>
      <w:r>
        <w:rPr>
          <w:rStyle w:val="Rimandonotaapidipagina"/>
        </w:rPr>
        <w:footnoteRef/>
      </w:r>
      <w:r>
        <w:t xml:space="preserve"> </w:t>
      </w:r>
      <w:r>
        <w:tab/>
        <w:t>Nat. Tr., pp. 438, 461, 464; North. Tr., p. 596 et suiv.</w:t>
      </w:r>
    </w:p>
  </w:footnote>
  <w:footnote w:id="121">
    <w:p w:rsidR="003F2F8E" w:rsidRDefault="003F2F8E">
      <w:pPr>
        <w:pStyle w:val="Testonotaapidipagina"/>
      </w:pPr>
      <w:r>
        <w:rPr>
          <w:rStyle w:val="Rimandonotaapidipagina"/>
        </w:rPr>
        <w:footnoteRef/>
      </w:r>
      <w:r>
        <w:t xml:space="preserve"> </w:t>
      </w:r>
      <w:r>
        <w:tab/>
        <w:t>Nat. Tr., p. 201.</w:t>
      </w:r>
    </w:p>
  </w:footnote>
  <w:footnote w:id="122">
    <w:p w:rsidR="003F2F8E" w:rsidRDefault="003F2F8E">
      <w:pPr>
        <w:pStyle w:val="Testonotaapidipagina"/>
      </w:pPr>
      <w:r>
        <w:rPr>
          <w:rStyle w:val="Rimandonotaapidipagina"/>
        </w:rPr>
        <w:footnoteRef/>
      </w:r>
      <w:r>
        <w:t xml:space="preserve"> </w:t>
      </w:r>
      <w:r>
        <w:tab/>
        <w:t xml:space="preserve">Ibid., p. 206. Nous employons le langage de Spencer et Gillen et, avec eux, nous disons que ce qui se dégage des rochers, ce sont des esprits de kangourous (spirits ou spirit paris of kangaroo). STREHLOW (III, p. 7), conteste l'exactitude de l'expression, Suivant lui, ce que le rite fait apparaître ce sont des kangourous réels, des corps vivants. Mais la contestation est sans intérêt, tout comme celle qui concerne la notion de </w:t>
      </w:r>
      <w:r>
        <w:rPr>
          <w:i/>
          <w:iCs/>
        </w:rPr>
        <w:t xml:space="preserve">ratapa (v. </w:t>
      </w:r>
      <w:r>
        <w:t xml:space="preserve">plus haut, p. </w:t>
      </w:r>
      <w:r>
        <w:rPr>
          <w:i/>
          <w:iCs/>
        </w:rPr>
        <w:t xml:space="preserve">361). </w:t>
      </w:r>
      <w:r>
        <w:t xml:space="preserve">Les germes de kangourous </w:t>
      </w:r>
      <w:r>
        <w:rPr>
          <w:i/>
          <w:iCs/>
        </w:rPr>
        <w:t xml:space="preserve">qui </w:t>
      </w:r>
      <w:r>
        <w:t>s'échappent ainsi des rochers ne sont pas visibles; ils ne sont donc pas faits de la même substance que les kangourous que perçoivent nos sens. C'est tout ce que veulent dire Spencer et Gillen. Il est bien certain, d'ailleurs, que ce ne sont pas de purs esprits comme un chrétien pourrait en concevoir. Tout comme les âmes humaines, ils sont des formes matérielles.</w:t>
      </w:r>
    </w:p>
  </w:footnote>
  <w:footnote w:id="123">
    <w:p w:rsidR="003F2F8E" w:rsidRDefault="003F2F8E">
      <w:pPr>
        <w:pStyle w:val="Testonotaapidipagina"/>
      </w:pPr>
      <w:r>
        <w:rPr>
          <w:rStyle w:val="Rimandonotaapidipagina"/>
        </w:rPr>
        <w:footnoteRef/>
      </w:r>
      <w:r>
        <w:t xml:space="preserve"> </w:t>
      </w:r>
      <w:r>
        <w:tab/>
        <w:t>Nat. Tr., p. 181.</w:t>
      </w:r>
    </w:p>
  </w:footnote>
  <w:footnote w:id="124">
    <w:p w:rsidR="003F2F8E" w:rsidRDefault="003F2F8E">
      <w:pPr>
        <w:pStyle w:val="Testonotaapidipagina"/>
      </w:pPr>
      <w:r>
        <w:rPr>
          <w:rStyle w:val="Rimandonotaapidipagina"/>
        </w:rPr>
        <w:footnoteRef/>
      </w:r>
      <w:r>
        <w:t xml:space="preserve"> </w:t>
      </w:r>
      <w:r>
        <w:tab/>
        <w:t>Tribu située à l'est du lac Eyre.</w:t>
      </w:r>
    </w:p>
  </w:footnote>
  <w:footnote w:id="125">
    <w:p w:rsidR="003F2F8E" w:rsidRDefault="003F2F8E">
      <w:pPr>
        <w:pStyle w:val="Testonotaapidipagina"/>
      </w:pPr>
      <w:r>
        <w:rPr>
          <w:rStyle w:val="Rimandonotaapidipagina"/>
        </w:rPr>
        <w:footnoteRef/>
      </w:r>
      <w:r>
        <w:t xml:space="preserve"> </w:t>
      </w:r>
      <w:r>
        <w:tab/>
        <w:t>North. Tr., pp. 287-288.</w:t>
      </w:r>
    </w:p>
  </w:footnote>
  <w:footnote w:id="126">
    <w:p w:rsidR="003F2F8E" w:rsidRDefault="003F2F8E">
      <w:pPr>
        <w:pStyle w:val="Testonotaapidipagina"/>
      </w:pPr>
      <w:r>
        <w:rPr>
          <w:rStyle w:val="Rimandonotaapidipagina"/>
        </w:rPr>
        <w:footnoteRef/>
      </w:r>
      <w:r>
        <w:t xml:space="preserve"> </w:t>
      </w:r>
      <w:r>
        <w:tab/>
        <w:t>HOWITT, Nat. Tr., p. 798. Cf. HOWITT, Legends of the Dieri and Kindred Tribes of Central Australia, in J.A.I., XXIV, p. 124 et suiv. Howitt croit que la cérémonie est célébrée par les gens du totem, mais n'est pas en mesure de certifier le fait.</w:t>
      </w:r>
    </w:p>
  </w:footnote>
  <w:footnote w:id="127">
    <w:p w:rsidR="003F2F8E" w:rsidRDefault="003F2F8E">
      <w:pPr>
        <w:pStyle w:val="Testonotaapidipagina"/>
      </w:pPr>
      <w:r>
        <w:rPr>
          <w:rStyle w:val="Rimandonotaapidipagina"/>
        </w:rPr>
        <w:footnoteRef/>
      </w:r>
      <w:r>
        <w:t xml:space="preserve"> </w:t>
      </w:r>
      <w:r>
        <w:tab/>
        <w:t>North. Tr., p. 295.</w:t>
      </w:r>
    </w:p>
  </w:footnote>
  <w:footnote w:id="128">
    <w:p w:rsidR="003F2F8E" w:rsidRDefault="003F2F8E">
      <w:pPr>
        <w:pStyle w:val="Testonotaapidipagina"/>
      </w:pPr>
      <w:r>
        <w:rPr>
          <w:rStyle w:val="Rimandonotaapidipagina"/>
        </w:rPr>
        <w:footnoteRef/>
      </w:r>
      <w:r>
        <w:t xml:space="preserve"> </w:t>
      </w:r>
      <w:r>
        <w:tab/>
        <w:t>Ibid., p. 314.</w:t>
      </w:r>
    </w:p>
  </w:footnote>
  <w:footnote w:id="129">
    <w:p w:rsidR="003F2F8E" w:rsidRDefault="003F2F8E">
      <w:pPr>
        <w:pStyle w:val="Testonotaapidipagina"/>
      </w:pPr>
      <w:r>
        <w:rPr>
          <w:rStyle w:val="Rimandonotaapidipagina"/>
        </w:rPr>
        <w:footnoteRef/>
      </w:r>
      <w:r>
        <w:t xml:space="preserve"> </w:t>
      </w:r>
      <w:r>
        <w:tab/>
        <w:t>Ibid., pp. 296-297.</w:t>
      </w:r>
    </w:p>
  </w:footnote>
  <w:footnote w:id="130">
    <w:p w:rsidR="003F2F8E" w:rsidRDefault="003F2F8E">
      <w:pPr>
        <w:pStyle w:val="Testonotaapidipagina"/>
      </w:pPr>
      <w:r>
        <w:rPr>
          <w:rStyle w:val="Rimandonotaapidipagina"/>
        </w:rPr>
        <w:footnoteRef/>
      </w:r>
      <w:r>
        <w:t xml:space="preserve"> </w:t>
      </w:r>
      <w:r>
        <w:tab/>
        <w:t>Nat. Tr., p. 170.</w:t>
      </w:r>
    </w:p>
  </w:footnote>
  <w:footnote w:id="131">
    <w:p w:rsidR="003F2F8E" w:rsidRDefault="003F2F8E">
      <w:pPr>
        <w:pStyle w:val="Testonotaapidipagina"/>
      </w:pPr>
      <w:r>
        <w:rPr>
          <w:rStyle w:val="Rimandonotaapidipagina"/>
        </w:rPr>
        <w:footnoteRef/>
      </w:r>
      <w:r>
        <w:t xml:space="preserve"> </w:t>
      </w:r>
      <w:r>
        <w:tab/>
        <w:t xml:space="preserve">Ibid., p. 519. - L'analyse des rites qui viennent d'être étudiés a été faite uniquement avec les observations que nous devons à Spencer et Gillen. Depuis que notre chapitre a été rédigé, Strehlow a publié le troisième fascicule de son ouvrage qui traite précisément du culte positif, et, notamment, de l'Intichiuma ou, comme il dit, des rites de </w:t>
      </w:r>
      <w:r>
        <w:rPr>
          <w:i/>
          <w:iCs/>
        </w:rPr>
        <w:t xml:space="preserve">mbatjalkatiuma. </w:t>
      </w:r>
      <w:r>
        <w:t>Mais nous n'avons rien trouvé dans cette publication qui nous oblige à modifier la description qui précède ni même à la compléter par des additions importantes. Ce que Strehlow nous apprend de plus intéressant à ce sujet, c'est que les effusions et les oblations de sang sont beaucoup plus fréquentes qu'on ne pouvait le soupçonner d'après le récit de Spencer et Gillen (v. STREHLOW, III, pp. 13, 14, 19, 29, 39, 43, 46, 56, 67, 80, 89).</w:t>
      </w:r>
    </w:p>
    <w:p w:rsidR="003F2F8E" w:rsidRDefault="003F2F8E">
      <w:pPr>
        <w:pStyle w:val="Testonotaapidipagina"/>
      </w:pPr>
      <w:r>
        <w:tab/>
      </w:r>
      <w:r>
        <w:tab/>
        <w:t xml:space="preserve">Les renseignements de Strehlow sur le culte doivent, d'ailleurs, être employés avec circonspection, car il n'a pas été témoin des rites qu'il décrit ; il s'est borné à recueillir des témoignages oraux et qui sont généralement assez sommaires (v. fasc. Ill, préface de LEONHARDI, p. V). On peut même se demander s'il n'a pas confondu avec excès les cérémonies totémiques de l'initiation avec celles qu'il appelle </w:t>
      </w:r>
      <w:r>
        <w:rPr>
          <w:i/>
          <w:iCs/>
        </w:rPr>
        <w:t>mbatjalkatiuma.</w:t>
      </w:r>
      <w:r>
        <w:t xml:space="preserve"> Sans doute, il n'est pas sans avoir fait un louable effort pour les distinguer et il a bien mis en évidence deux de leurs caractéristiques différentielles. D'abord, l'Intichiuma a toujours lieu en un endroit consacré, auquel se rattache le souvenir de quelque ancêtre, tandis que les cérémonies d'initiation peuvent être célébrées en un lieu quelconque. Ensuite, les oblations de sang sont spéciales à l'Intichiuma; ce qui prouve qu'elles tiennent à ce qu'il y a de plus essentiel dans ce rituel (III, p. 7). Mais, dans la description qu'il nous donne des rites, on trouve confondues des informations qui se rapportent indifféremment à l'une et à l'autre espèce de cérémonie. En effet, dans celles qu'il nous décrit sous le nom de </w:t>
      </w:r>
      <w:r>
        <w:rPr>
          <w:i/>
          <w:iCs/>
        </w:rPr>
        <w:t xml:space="preserve">mbatjalkatiuma, </w:t>
      </w:r>
      <w:r>
        <w:t>les jeunes gens jouent généralement un rôle important (v. par exemple, p. 11, 13, etc.); ce qui est caractéristique de l'initiation. De même, il semble bien que le lieu du rite soit arbitraire : car les acteurs construisent leur scène artificiellement. Ils creusent un trou dans lequel ils se placent ; il n'est généralement fait aucune allusion aux rochers ou arbres sacrés et à leur rôle rituel.</w:t>
      </w:r>
    </w:p>
  </w:footnote>
  <w:footnote w:id="132">
    <w:p w:rsidR="003F2F8E" w:rsidRDefault="003F2F8E">
      <w:pPr>
        <w:pStyle w:val="Testonotaapidipagina"/>
      </w:pPr>
      <w:r>
        <w:rPr>
          <w:rStyle w:val="Rimandonotaapidipagina"/>
        </w:rPr>
        <w:footnoteRef/>
      </w:r>
      <w:r>
        <w:t xml:space="preserve"> </w:t>
      </w:r>
      <w:r>
        <w:tab/>
        <w:t>Nat. Tr., p. 203. Cf. MEYER, The Encounter Bay Tribe, in WOODS, p. 187.</w:t>
      </w:r>
    </w:p>
  </w:footnote>
  <w:footnote w:id="133">
    <w:p w:rsidR="003F2F8E" w:rsidRDefault="003F2F8E">
      <w:pPr>
        <w:pStyle w:val="Testonotaapidipagina"/>
      </w:pPr>
      <w:r>
        <w:rPr>
          <w:rStyle w:val="Rimandonotaapidipagina"/>
        </w:rPr>
        <w:footnoteRef/>
      </w:r>
      <w:r>
        <w:t xml:space="preserve"> </w:t>
      </w:r>
      <w:r>
        <w:tab/>
        <w:t>SPENCER et GILLEN, Nat. Tr., p. 204.</w:t>
      </w:r>
    </w:p>
  </w:footnote>
  <w:footnote w:id="134">
    <w:p w:rsidR="003F2F8E" w:rsidRDefault="003F2F8E">
      <w:pPr>
        <w:pStyle w:val="Testonotaapidipagina"/>
      </w:pPr>
      <w:r>
        <w:rPr>
          <w:rStyle w:val="Rimandonotaapidipagina"/>
        </w:rPr>
        <w:footnoteRef/>
      </w:r>
      <w:r>
        <w:t xml:space="preserve"> </w:t>
      </w:r>
      <w:r>
        <w:tab/>
        <w:t>Nat. Tr., pp. 205-207.</w:t>
      </w:r>
    </w:p>
  </w:footnote>
  <w:footnote w:id="135">
    <w:p w:rsidR="003F2F8E" w:rsidRDefault="003F2F8E">
      <w:pPr>
        <w:pStyle w:val="Testonotaapidipagina"/>
      </w:pPr>
      <w:r>
        <w:rPr>
          <w:rStyle w:val="Rimandonotaapidipagina"/>
        </w:rPr>
        <w:footnoteRef/>
      </w:r>
      <w:r>
        <w:t xml:space="preserve"> </w:t>
      </w:r>
      <w:r>
        <w:tab/>
        <w:t>North. Tr., pp. 286-287.</w:t>
      </w:r>
    </w:p>
  </w:footnote>
  <w:footnote w:id="136">
    <w:p w:rsidR="003F2F8E" w:rsidRDefault="003F2F8E">
      <w:pPr>
        <w:pStyle w:val="Testonotaapidipagina"/>
      </w:pPr>
      <w:r>
        <w:rPr>
          <w:rStyle w:val="Rimandonotaapidipagina"/>
        </w:rPr>
        <w:footnoteRef/>
      </w:r>
      <w:r>
        <w:t xml:space="preserve"> </w:t>
      </w:r>
      <w:r>
        <w:tab/>
        <w:t>Ibid., p. 294.</w:t>
      </w:r>
    </w:p>
  </w:footnote>
  <w:footnote w:id="137">
    <w:p w:rsidR="003F2F8E" w:rsidRDefault="003F2F8E">
      <w:pPr>
        <w:pStyle w:val="Testonotaapidipagina"/>
      </w:pPr>
      <w:r>
        <w:rPr>
          <w:rStyle w:val="Rimandonotaapidipagina"/>
        </w:rPr>
        <w:footnoteRef/>
      </w:r>
      <w:r>
        <w:t xml:space="preserve"> </w:t>
      </w:r>
      <w:r>
        <w:tab/>
        <w:t>Ibid., p. 296.</w:t>
      </w:r>
    </w:p>
  </w:footnote>
  <w:footnote w:id="138">
    <w:p w:rsidR="003F2F8E" w:rsidRDefault="003F2F8E">
      <w:pPr>
        <w:pStyle w:val="Testonotaapidipagina"/>
      </w:pPr>
      <w:r>
        <w:rPr>
          <w:rStyle w:val="Rimandonotaapidipagina"/>
        </w:rPr>
        <w:footnoteRef/>
      </w:r>
      <w:r>
        <w:t xml:space="preserve"> </w:t>
      </w:r>
      <w:r>
        <w:tab/>
        <w:t>MEYER, in WOODS, p. 187.</w:t>
      </w:r>
    </w:p>
  </w:footnote>
  <w:footnote w:id="139">
    <w:p w:rsidR="003F2F8E" w:rsidRDefault="003F2F8E">
      <w:pPr>
        <w:pStyle w:val="Testonotaapidipagina"/>
      </w:pPr>
      <w:r>
        <w:rPr>
          <w:rStyle w:val="Rimandonotaapidipagina"/>
        </w:rPr>
        <w:footnoteRef/>
      </w:r>
      <w:r>
        <w:t xml:space="preserve"> </w:t>
      </w:r>
      <w:r>
        <w:tab/>
        <w:t>Nous en avons déjà cité un cas; on ne trouvera d'autres dans SPENCER et GILLEN, Nat. Tr., p. 205; North, Tr., p. 286.</w:t>
      </w:r>
    </w:p>
  </w:footnote>
  <w:footnote w:id="140">
    <w:p w:rsidR="003F2F8E" w:rsidRDefault="003F2F8E">
      <w:pPr>
        <w:pStyle w:val="Testonotaapidipagina"/>
      </w:pPr>
      <w:r>
        <w:rPr>
          <w:rStyle w:val="Rimandonotaapidipagina"/>
        </w:rPr>
        <w:footnoteRef/>
      </w:r>
      <w:r>
        <w:t xml:space="preserve"> </w:t>
      </w:r>
      <w:r>
        <w:tab/>
        <w:t>Les Walpari, Wulmala, Tjingilli, Umbaia.</w:t>
      </w:r>
    </w:p>
  </w:footnote>
  <w:footnote w:id="141">
    <w:p w:rsidR="003F2F8E" w:rsidRDefault="003F2F8E">
      <w:pPr>
        <w:pStyle w:val="Testonotaapidipagina"/>
      </w:pPr>
      <w:r>
        <w:rPr>
          <w:rStyle w:val="Rimandonotaapidipagina"/>
        </w:rPr>
        <w:footnoteRef/>
      </w:r>
      <w:r>
        <w:t xml:space="preserve"> </w:t>
      </w:r>
      <w:r>
        <w:tab/>
        <w:t>North. Tr., p. 318.</w:t>
      </w:r>
    </w:p>
  </w:footnote>
  <w:footnote w:id="142">
    <w:p w:rsidR="003F2F8E" w:rsidRDefault="003F2F8E">
      <w:pPr>
        <w:pStyle w:val="Testonotaapidipagina"/>
      </w:pPr>
      <w:r>
        <w:rPr>
          <w:rStyle w:val="Rimandonotaapidipagina"/>
        </w:rPr>
        <w:footnoteRef/>
      </w:r>
      <w:r>
        <w:t xml:space="preserve"> </w:t>
      </w:r>
      <w:r>
        <w:tab/>
        <w:t>Pour cette seconde partie de la cérémonie comme pour la première, nous avons suivi Spencer et Gillen. Mais le récent fascicule de Strehlow ne fait, sur ce point, que confirmer les observations de ses devanciers, au moins dans ce qu'elles ont d'essentiel. Il reconnaît, en effet, que, après la première cérémonie, (deux mois après, est-il dit, p. 13), le chef du clan mange rituellement de l'animal ou de la plante totémique et qu'ensuite il est procédé à la levée des interdits; il appelle cette opération die Freigabe des Totems zum allgemeinen Gebrauch (III, p. 7). Il nous apprend même que cette opération est assez importante pour être désignée par un mot spécial dans la langue des Arunta. Il ajoute, il est vrai, que cette consommation rituelle n'est pas la seule, mais que, parfois, le chef et les anciens mangent également de la plante ou de l'animal sacré avant la cérémonie initiale, et que l'acteur du rite, en fait autant après la célébration. Le fait n'a rien d'invraisemblable; ces consommations sont autant de moyens employés par les officiants ou les assistants pour se conférer les vertus qu'ils veulent acquérir; il n'est pas étonnant qu'elles soient multipliées. Il n'y a rien là qui infirme le récit de Spencer et Gillen; car le rite sur lequel ils insistent, et non sans raison, c'est la Freigabe des Totems.</w:t>
      </w:r>
    </w:p>
    <w:p w:rsidR="003F2F8E" w:rsidRDefault="003F2F8E">
      <w:pPr>
        <w:pStyle w:val="Testonotaapidipagina"/>
      </w:pPr>
      <w:r>
        <w:tab/>
      </w:r>
      <w:r>
        <w:tab/>
        <w:t>Sur deux points seulement, Strehlow conteste les allégations de Spencer et Gillen. Tout d'abord, il déclare que la consommation rituelle n'a pas lieu dans tous les cas. Le fait n'est pas douteux, puisqu'il y a des animaux et des plantes totémiques qui ne sont pas comestibles. Mais il reste que le rite est très fréquent; STREHLOW luimême en cite de nombreux exemples (pp. 13, 14, 19, 23, 33, 36, 50, 59, 67, 68, 71, 75, 80, 84, 89, 93). En second lieu, on a vu que, d'après Spencer et Gillen, si le chef du clan ne mangeait pas de l'animal ou de la plante totémique, il perdrait ses pouvoirs. Strehlow assure que les témoignages des indigènes ne confirment pas cette assertion. Mais la question nous parait tout à fait secondaire. Le fait certain est que cette consommation rituelle est prescrite ; c'est donc qu'elle est jugée utile ou nécessaire. Or, comme toute communion, elle ne peut servir qu'à conférer au sujet qui communie les vertus dont il a besoin. De ce que les indigènes ou certains d'entre eux ont perdu de vue cette fonction du rite, il ne suit pas qu'elle ne soit pas réelle. Est-il nécessaire de répéter que les fidèles ignorent le plus souvent les véritables raisons d'être des pratiques qu'ils accomplissent ?</w:t>
      </w:r>
    </w:p>
  </w:footnote>
  <w:footnote w:id="143">
    <w:p w:rsidR="003F2F8E" w:rsidRDefault="003F2F8E">
      <w:pPr>
        <w:pStyle w:val="Testonotaapidipagina"/>
      </w:pPr>
      <w:r>
        <w:rPr>
          <w:rStyle w:val="Rimandonotaapidipagina"/>
        </w:rPr>
        <w:footnoteRef/>
      </w:r>
      <w:r>
        <w:t xml:space="preserve"> </w:t>
      </w:r>
      <w:r>
        <w:tab/>
        <w:t>V. The Religion of the Semites, lectures VI à XI, et l'article « Sacrifice » dans l'Encyclopedia Britannica.</w:t>
      </w:r>
    </w:p>
  </w:footnote>
  <w:footnote w:id="144">
    <w:p w:rsidR="003F2F8E" w:rsidRDefault="003F2F8E">
      <w:pPr>
        <w:pStyle w:val="Testonotaapidipagina"/>
      </w:pPr>
      <w:r>
        <w:rPr>
          <w:rStyle w:val="Rimandonotaapidipagina"/>
        </w:rPr>
        <w:footnoteRef/>
      </w:r>
      <w:r>
        <w:t xml:space="preserve"> </w:t>
      </w:r>
      <w:r>
        <w:tab/>
        <w:t>V. HUBERT et Mauss, Essai sur la nature et la fonction du sacrifice, in Mélanges d'histoire des religions, p. 40 et suiv.</w:t>
      </w:r>
    </w:p>
  </w:footnote>
  <w:footnote w:id="145">
    <w:p w:rsidR="003F2F8E" w:rsidRDefault="003F2F8E">
      <w:pPr>
        <w:pStyle w:val="Testonotaapidipagina"/>
      </w:pPr>
      <w:r>
        <w:rPr>
          <w:rStyle w:val="Rimandonotaapidipagina"/>
        </w:rPr>
        <w:footnoteRef/>
      </w:r>
      <w:r>
        <w:t xml:space="preserve"> </w:t>
      </w:r>
      <w:r>
        <w:tab/>
        <w:t>V. pour l'explication de cette règle supra, p. 328.</w:t>
      </w:r>
    </w:p>
  </w:footnote>
  <w:footnote w:id="146">
    <w:p w:rsidR="003F2F8E" w:rsidRDefault="003F2F8E">
      <w:pPr>
        <w:pStyle w:val="Testonotaapidipagina"/>
      </w:pPr>
      <w:r>
        <w:rPr>
          <w:rStyle w:val="Rimandonotaapidipagina"/>
        </w:rPr>
        <w:footnoteRef/>
      </w:r>
      <w:r>
        <w:t xml:space="preserve"> </w:t>
      </w:r>
      <w:r>
        <w:tab/>
        <w:t>V. STREHLOW, III, p. 3.</w:t>
      </w:r>
    </w:p>
  </w:footnote>
  <w:footnote w:id="147">
    <w:p w:rsidR="003F2F8E" w:rsidRDefault="003F2F8E">
      <w:pPr>
        <w:pStyle w:val="Testonotaapidipagina"/>
      </w:pPr>
      <w:r>
        <w:rPr>
          <w:rStyle w:val="Rimandonotaapidipagina"/>
        </w:rPr>
        <w:footnoteRef/>
      </w:r>
      <w:r>
        <w:t xml:space="preserve"> </w:t>
      </w:r>
      <w:r>
        <w:tab/>
        <w:t>Il ne faut pas perdre de vue; d'ailleurs, que, chez les Arunta, Il n'est pas complètement interdit de manger de l'animal totémique.</w:t>
      </w:r>
    </w:p>
  </w:footnote>
  <w:footnote w:id="148">
    <w:p w:rsidR="003F2F8E" w:rsidRDefault="003F2F8E">
      <w:pPr>
        <w:pStyle w:val="Testonotaapidipagina"/>
      </w:pPr>
      <w:r>
        <w:rPr>
          <w:rStyle w:val="Rimandonotaapidipagina"/>
        </w:rPr>
        <w:footnoteRef/>
      </w:r>
      <w:r>
        <w:t xml:space="preserve"> </w:t>
      </w:r>
      <w:r>
        <w:tab/>
        <w:t>V. d'autres faits dans FRAZER, Golden Bough 2, p. 348 et suiv.</w:t>
      </w:r>
    </w:p>
  </w:footnote>
  <w:footnote w:id="149">
    <w:p w:rsidR="003F2F8E" w:rsidRDefault="003F2F8E">
      <w:pPr>
        <w:pStyle w:val="Testonotaapidipagina"/>
      </w:pPr>
      <w:r>
        <w:rPr>
          <w:rStyle w:val="Rimandonotaapidipagina"/>
        </w:rPr>
        <w:footnoteRef/>
      </w:r>
      <w:r>
        <w:t xml:space="preserve"> </w:t>
      </w:r>
      <w:r>
        <w:tab/>
        <w:t>The Religion of the Semites, p. 275 et suiv.</w:t>
      </w:r>
    </w:p>
  </w:footnote>
  <w:footnote w:id="150">
    <w:p w:rsidR="003F2F8E" w:rsidRDefault="003F2F8E">
      <w:pPr>
        <w:pStyle w:val="Testonotaapidipagina"/>
      </w:pPr>
      <w:r>
        <w:rPr>
          <w:rStyle w:val="Rimandonotaapidipagina"/>
        </w:rPr>
        <w:footnoteRef/>
      </w:r>
      <w:r>
        <w:t xml:space="preserve"> </w:t>
      </w:r>
      <w:r>
        <w:tab/>
        <w:t>Ibid., pp. 318-319.</w:t>
      </w:r>
    </w:p>
  </w:footnote>
  <w:footnote w:id="151">
    <w:p w:rsidR="003F2F8E" w:rsidRDefault="003F2F8E">
      <w:pPr>
        <w:pStyle w:val="Testonotaapidipagina"/>
      </w:pPr>
      <w:r>
        <w:rPr>
          <w:rStyle w:val="Rimandonotaapidipagina"/>
        </w:rPr>
        <w:footnoteRef/>
      </w:r>
      <w:r>
        <w:t xml:space="preserve"> </w:t>
      </w:r>
      <w:r>
        <w:tab/>
        <w:t>V. sur ce point HUBERT et Mauss, Mélanges d'histoire des religions, préface, p. V et suiv.</w:t>
      </w:r>
    </w:p>
  </w:footnote>
  <w:footnote w:id="152">
    <w:p w:rsidR="003F2F8E" w:rsidRDefault="003F2F8E">
      <w:pPr>
        <w:pStyle w:val="Testonotaapidipagina"/>
      </w:pPr>
      <w:r>
        <w:rPr>
          <w:rStyle w:val="Rimandonotaapidipagina"/>
        </w:rPr>
        <w:footnoteRef/>
      </w:r>
      <w:r>
        <w:t xml:space="preserve"> </w:t>
      </w:r>
      <w:r>
        <w:tab/>
        <w:t>The Religion of the Semites, 2e éd., p. 390 et suiv,</w:t>
      </w:r>
    </w:p>
  </w:footnote>
  <w:footnote w:id="153">
    <w:p w:rsidR="003F2F8E" w:rsidRDefault="003F2F8E">
      <w:pPr>
        <w:pStyle w:val="Testonotaapidipagina"/>
      </w:pPr>
      <w:r>
        <w:rPr>
          <w:rStyle w:val="Rimandonotaapidipagina"/>
        </w:rPr>
        <w:footnoteRef/>
      </w:r>
      <w:r>
        <w:t xml:space="preserve"> </w:t>
      </w:r>
      <w:r>
        <w:tab/>
        <w:t>R. SMITH en cite lui-même des cas dans The Relig. of the Semites, p. 231.</w:t>
      </w:r>
    </w:p>
  </w:footnote>
  <w:footnote w:id="154">
    <w:p w:rsidR="003F2F8E" w:rsidRDefault="003F2F8E">
      <w:pPr>
        <w:pStyle w:val="Testonotaapidipagina"/>
      </w:pPr>
      <w:r>
        <w:rPr>
          <w:rStyle w:val="Rimandonotaapidipagina"/>
        </w:rPr>
        <w:footnoteRef/>
      </w:r>
      <w:r>
        <w:t xml:space="preserve"> </w:t>
      </w:r>
      <w:r>
        <w:tab/>
        <w:t>V. par exemple Exode, XXIX, 10-14; Lévitique, IX, 8-11; c'est leur sang même que versent sur l'autel les prêtres de Baal (I, Rois, XVIII, 28).</w:t>
      </w:r>
    </w:p>
  </w:footnote>
  <w:footnote w:id="155">
    <w:p w:rsidR="003F2F8E" w:rsidRDefault="003F2F8E">
      <w:pPr>
        <w:pStyle w:val="Testonotaapidipagina"/>
      </w:pPr>
      <w:r>
        <w:rPr>
          <w:rStyle w:val="Rimandonotaapidipagina"/>
        </w:rPr>
        <w:footnoteRef/>
      </w:r>
      <w:r>
        <w:t xml:space="preserve"> </w:t>
      </w:r>
      <w:r>
        <w:tab/>
        <w:t>STREHLOW, III, p. 12, vers. 7.</w:t>
      </w:r>
    </w:p>
  </w:footnote>
  <w:footnote w:id="156">
    <w:p w:rsidR="003F2F8E" w:rsidRDefault="003F2F8E">
      <w:pPr>
        <w:pStyle w:val="Testonotaapidipagina"/>
      </w:pPr>
      <w:r>
        <w:rPr>
          <w:rStyle w:val="Rimandonotaapidipagina"/>
        </w:rPr>
        <w:footnoteRef/>
      </w:r>
      <w:r>
        <w:t xml:space="preserve"> </w:t>
      </w:r>
      <w:r>
        <w:tab/>
        <w:t>Du moins, quand il est complet; il peut, dans certains cas, se réduire à un seul de ces éléments.</w:t>
      </w:r>
    </w:p>
  </w:footnote>
  <w:footnote w:id="157">
    <w:p w:rsidR="003F2F8E" w:rsidRDefault="003F2F8E">
      <w:pPr>
        <w:pStyle w:val="Testonotaapidipagina"/>
      </w:pPr>
      <w:r>
        <w:rPr>
          <w:rStyle w:val="Rimandonotaapidipagina"/>
        </w:rPr>
        <w:footnoteRef/>
      </w:r>
      <w:r>
        <w:t xml:space="preserve"> </w:t>
      </w:r>
      <w:r>
        <w:tab/>
        <w:t>Les indigènes, dit STREHLOW, « considèrent ces cérémonies comme une sorte de service divin, tout comme le chrétien considère les exercices de sa religion » (III, p. 9).</w:t>
      </w:r>
    </w:p>
  </w:footnote>
  <w:footnote w:id="158">
    <w:p w:rsidR="003F2F8E" w:rsidRDefault="003F2F8E">
      <w:pPr>
        <w:pStyle w:val="Testonotaapidipagina"/>
      </w:pPr>
      <w:r>
        <w:rPr>
          <w:rStyle w:val="Rimandonotaapidipagina"/>
        </w:rPr>
        <w:footnoteRef/>
      </w:r>
      <w:r>
        <w:t xml:space="preserve"> </w:t>
      </w:r>
      <w:r>
        <w:tab/>
        <w:t>Il y aurait lieu notamment de se demander si les effusions sanglantes, les offrandes de chevelure dans lesquelles Smith voit des actes de communion ne sont pas des oblations proprement dites (v. SMITH, op. cit., p. 320 et suiv.).</w:t>
      </w:r>
    </w:p>
  </w:footnote>
  <w:footnote w:id="159">
    <w:p w:rsidR="003F2F8E" w:rsidRDefault="003F2F8E">
      <w:pPr>
        <w:pStyle w:val="Testonotaapidipagina"/>
      </w:pPr>
      <w:r>
        <w:rPr>
          <w:rStyle w:val="Rimandonotaapidipagina"/>
        </w:rPr>
        <w:footnoteRef/>
      </w:r>
      <w:r>
        <w:t xml:space="preserve"> </w:t>
      </w:r>
      <w:r>
        <w:tab/>
        <w:t>Les sacrifices piaculaires, dont nous parlerons plus spécialement dans le chapitre V de ce même livre, consistent exclusivement en oblations. Ils ne servent à des communions que d'une manière accessoire,</w:t>
      </w:r>
    </w:p>
  </w:footnote>
  <w:footnote w:id="160">
    <w:p w:rsidR="003F2F8E" w:rsidRDefault="003F2F8E">
      <w:pPr>
        <w:pStyle w:val="Testonotaapidipagina"/>
      </w:pPr>
      <w:r>
        <w:rPr>
          <w:rStyle w:val="Rimandonotaapidipagina"/>
        </w:rPr>
        <w:footnoteRef/>
      </w:r>
      <w:r>
        <w:t xml:space="preserve"> </w:t>
      </w:r>
      <w:r>
        <w:tab/>
        <w:t>C'est ce qui fait qu'on a souvent parlé de ces cérémonies comme si elles s'adressaient à des divinités personnelles (v. par exemple un texte de Krichauff et un autre de Kempe cités par EYLMANN, pp. 202-203).</w:t>
      </w:r>
    </w:p>
  </w:footnote>
  <w:footnote w:id="161">
    <w:p w:rsidR="003F2F8E" w:rsidRDefault="003F2F8E">
      <w:pPr>
        <w:pStyle w:val="Testonotaapidipagina"/>
      </w:pPr>
      <w:r>
        <w:rPr>
          <w:rStyle w:val="Rimandonotaapidipagina"/>
        </w:rPr>
        <w:footnoteRef/>
      </w:r>
      <w:r>
        <w:t xml:space="preserve"> </w:t>
      </w:r>
      <w:r>
        <w:tab/>
        <w:t>En un sens philosophique, Il en est de même de toute chose; car rien n'existe que par la représentation. Mais, comme nous l'avons montré (pp. 325-326), la proposition est doublement vraie des forces religieuses, parce que, dans la constitution des choses, il n'y a rien qui corresponde au caractère sacré.</w:t>
      </w:r>
    </w:p>
  </w:footnote>
  <w:footnote w:id="162">
    <w:p w:rsidR="003F2F8E" w:rsidRDefault="003F2F8E">
      <w:pPr>
        <w:pStyle w:val="Testonotaapidipagina"/>
      </w:pPr>
      <w:r>
        <w:rPr>
          <w:rStyle w:val="Rimandonotaapidipagina"/>
        </w:rPr>
        <w:footnoteRef/>
      </w:r>
      <w:r>
        <w:t xml:space="preserve"> </w:t>
      </w:r>
      <w:r>
        <w:tab/>
        <w:t>V. Mauss, Essai sur les variations saisonnières des sociétés Eskimos, ln Année sociol., IX, p. 96 et suiv.</w:t>
      </w:r>
    </w:p>
  </w:footnote>
  <w:footnote w:id="163">
    <w:p w:rsidR="003F2F8E" w:rsidRDefault="003F2F8E">
      <w:pPr>
        <w:pStyle w:val="Testonotaapidipagina"/>
      </w:pPr>
      <w:r>
        <w:rPr>
          <w:rStyle w:val="Rimandonotaapidipagina"/>
        </w:rPr>
        <w:footnoteRef/>
      </w:r>
      <w:r>
        <w:t xml:space="preserve"> </w:t>
      </w:r>
      <w:r>
        <w:tab/>
        <w:t>Nat. Tr., p. 176.</w:t>
      </w:r>
    </w:p>
  </w:footnote>
  <w:footnote w:id="164">
    <w:p w:rsidR="003F2F8E" w:rsidRDefault="003F2F8E">
      <w:pPr>
        <w:pStyle w:val="Testonotaapidipagina"/>
      </w:pPr>
      <w:r>
        <w:rPr>
          <w:rStyle w:val="Rimandonotaapidipagina"/>
        </w:rPr>
        <w:footnoteRef/>
      </w:r>
      <w:r>
        <w:t xml:space="preserve"> </w:t>
      </w:r>
      <w:r>
        <w:tab/>
        <w:t>North. Tr., p. 179. SPENCER et GILLEN, il est vrai, ne disent pas expressément que la cérémonie soit un Intichiuma. Mais le contexte ne laisse pas de doute sur le sens du rite.</w:t>
      </w:r>
    </w:p>
  </w:footnote>
  <w:footnote w:id="165">
    <w:p w:rsidR="003F2F8E" w:rsidRDefault="003F2F8E">
      <w:pPr>
        <w:pStyle w:val="Testonotaapidipagina"/>
      </w:pPr>
      <w:r>
        <w:rPr>
          <w:rStyle w:val="Rimandonotaapidipagina"/>
        </w:rPr>
        <w:footnoteRef/>
      </w:r>
      <w:r>
        <w:t xml:space="preserve"> </w:t>
      </w:r>
      <w:r>
        <w:tab/>
        <w:t>A l'index des noms de totems, SPENCER et GILLEN écrivent Untjalka (North. Tr., p. 772).</w:t>
      </w:r>
    </w:p>
  </w:footnote>
  <w:footnote w:id="166">
    <w:p w:rsidR="003F2F8E" w:rsidRDefault="003F2F8E">
      <w:pPr>
        <w:pStyle w:val="Testonotaapidipagina"/>
      </w:pPr>
      <w:r>
        <w:rPr>
          <w:rStyle w:val="Rimandonotaapidipagina"/>
        </w:rPr>
        <w:footnoteRef/>
      </w:r>
      <w:r>
        <w:t xml:space="preserve"> </w:t>
      </w:r>
      <w:r>
        <w:tab/>
        <w:t>Nat. Tr., p. 182.</w:t>
      </w:r>
    </w:p>
  </w:footnote>
  <w:footnote w:id="167">
    <w:p w:rsidR="003F2F8E" w:rsidRDefault="003F2F8E">
      <w:pPr>
        <w:pStyle w:val="Testonotaapidipagina"/>
      </w:pPr>
      <w:r>
        <w:rPr>
          <w:rStyle w:val="Rimandonotaapidipagina"/>
        </w:rPr>
        <w:footnoteRef/>
      </w:r>
      <w:r>
        <w:t xml:space="preserve"> </w:t>
      </w:r>
      <w:r>
        <w:tab/>
        <w:t>Ibid., p. 193.</w:t>
      </w:r>
    </w:p>
  </w:footnote>
  <w:footnote w:id="168">
    <w:p w:rsidR="003F2F8E" w:rsidRDefault="003F2F8E">
      <w:pPr>
        <w:pStyle w:val="Testonotaapidipagina"/>
      </w:pPr>
      <w:r>
        <w:rPr>
          <w:rStyle w:val="Rimandonotaapidipagina"/>
        </w:rPr>
        <w:footnoteRef/>
      </w:r>
      <w:r>
        <w:t xml:space="preserve"> </w:t>
      </w:r>
      <w:r>
        <w:tab/>
        <w:t>Schulze, loc. cit., pp. 12, 21 ; cf. p. 243.</w:t>
      </w:r>
    </w:p>
  </w:footnote>
  <w:footnote w:id="169">
    <w:p w:rsidR="003F2F8E" w:rsidRDefault="003F2F8E">
      <w:pPr>
        <w:pStyle w:val="Testonotaapidipagina"/>
      </w:pPr>
      <w:r>
        <w:rPr>
          <w:rStyle w:val="Rimandonotaapidipagina"/>
        </w:rPr>
        <w:footnoteRef/>
      </w:r>
      <w:r>
        <w:t xml:space="preserve"> </w:t>
      </w:r>
      <w:r>
        <w:tab/>
        <w:t>STREHLOW, III, pp. 11, 84, 31, 36, 37, 68, 72.</w:t>
      </w:r>
    </w:p>
  </w:footnote>
  <w:footnote w:id="170">
    <w:p w:rsidR="003F2F8E" w:rsidRDefault="003F2F8E">
      <w:pPr>
        <w:pStyle w:val="Testonotaapidipagina"/>
      </w:pPr>
      <w:r>
        <w:rPr>
          <w:rStyle w:val="Rimandonotaapidipagina"/>
        </w:rPr>
        <w:footnoteRef/>
      </w:r>
      <w:r>
        <w:t xml:space="preserve"> </w:t>
      </w:r>
      <w:r>
        <w:tab/>
        <w:t>Ibid., p. 100.</w:t>
      </w:r>
    </w:p>
  </w:footnote>
  <w:footnote w:id="171">
    <w:p w:rsidR="003F2F8E" w:rsidRDefault="003F2F8E">
      <w:pPr>
        <w:pStyle w:val="Testonotaapidipagina"/>
      </w:pPr>
      <w:r>
        <w:rPr>
          <w:rStyle w:val="Rimandonotaapidipagina"/>
        </w:rPr>
        <w:footnoteRef/>
      </w:r>
      <w:r>
        <w:t xml:space="preserve"> </w:t>
      </w:r>
      <w:r>
        <w:tab/>
        <w:t>Ibid., pp. 81, 100, 112, 115.</w:t>
      </w:r>
    </w:p>
  </w:footnote>
  <w:footnote w:id="172">
    <w:p w:rsidR="003F2F8E" w:rsidRDefault="003F2F8E">
      <w:pPr>
        <w:pStyle w:val="Testonotaapidipagina"/>
      </w:pPr>
      <w:r>
        <w:rPr>
          <w:rStyle w:val="Rimandonotaapidipagina"/>
        </w:rPr>
        <w:footnoteRef/>
      </w:r>
      <w:r>
        <w:t xml:space="preserve"> </w:t>
      </w:r>
      <w:r>
        <w:tab/>
        <w:t>North. Tr., p. 310.</w:t>
      </w:r>
    </w:p>
  </w:footnote>
  <w:footnote w:id="173">
    <w:p w:rsidR="003F2F8E" w:rsidRDefault="003F2F8E">
      <w:pPr>
        <w:pStyle w:val="Testonotaapidipagina"/>
      </w:pPr>
      <w:r>
        <w:rPr>
          <w:rStyle w:val="Rimandonotaapidipagina"/>
        </w:rPr>
        <w:footnoteRef/>
      </w:r>
      <w:r>
        <w:t xml:space="preserve"> </w:t>
      </w:r>
      <w:r>
        <w:tab/>
        <w:t>Ibid., pp. 285-286. Peut-être les mouvements de la lance ont-ils pour objet de percer les nuages.</w:t>
      </w:r>
    </w:p>
  </w:footnote>
  <w:footnote w:id="174">
    <w:p w:rsidR="003F2F8E" w:rsidRDefault="003F2F8E">
      <w:pPr>
        <w:pStyle w:val="Testonotaapidipagina"/>
      </w:pPr>
      <w:r>
        <w:rPr>
          <w:rStyle w:val="Rimandonotaapidipagina"/>
        </w:rPr>
        <w:footnoteRef/>
      </w:r>
      <w:r>
        <w:t xml:space="preserve"> </w:t>
      </w:r>
      <w:r>
        <w:tab/>
        <w:t>North. Tr., pp. 294-296. Il est curieux que, chez les Anula, l'arc-en-ciel soit, au contraire, considéré comme producteur de la pluie (ibid., p. 314).</w:t>
      </w:r>
    </w:p>
  </w:footnote>
  <w:footnote w:id="175">
    <w:p w:rsidR="003F2F8E" w:rsidRDefault="003F2F8E">
      <w:pPr>
        <w:pStyle w:val="Testonotaapidipagina"/>
      </w:pPr>
      <w:r>
        <w:rPr>
          <w:rStyle w:val="Rimandonotaapidipagina"/>
        </w:rPr>
        <w:footnoteRef/>
      </w:r>
      <w:r>
        <w:t xml:space="preserve"> </w:t>
      </w:r>
      <w:r>
        <w:tab/>
        <w:t>Le même procédé est employé chez les Arunta (STREHLOW, III, p. 132). On peut se demander, il est vrai, si cette effusion de sang ne serait pas une oblation destinée à dégager des principes producteurs de pluie. Cependant Gason dit formellement que c'est un moyen d'imiter l'eau qui tombe.</w:t>
      </w:r>
    </w:p>
  </w:footnote>
  <w:footnote w:id="176">
    <w:p w:rsidR="003F2F8E" w:rsidRDefault="003F2F8E">
      <w:pPr>
        <w:pStyle w:val="Testonotaapidipagina"/>
      </w:pPr>
      <w:r>
        <w:rPr>
          <w:rStyle w:val="Rimandonotaapidipagina"/>
        </w:rPr>
        <w:footnoteRef/>
      </w:r>
      <w:r>
        <w:t xml:space="preserve"> </w:t>
      </w:r>
      <w:r>
        <w:tab/>
        <w:t>GASON, The Dieyerie Tribe, in Curr, II, pp. 66-68. HOWITT (Nat. Tr., pp. 798-900) mentionne un autre rite des Dieri pour obtenir de la pluie.</w:t>
      </w:r>
    </w:p>
  </w:footnote>
  <w:footnote w:id="177">
    <w:p w:rsidR="003F2F8E" w:rsidRDefault="003F2F8E">
      <w:pPr>
        <w:pStyle w:val="Testonotaapidipagina"/>
      </w:pPr>
      <w:r>
        <w:rPr>
          <w:rStyle w:val="Rimandonotaapidipagina"/>
        </w:rPr>
        <w:footnoteRef/>
      </w:r>
      <w:r>
        <w:t xml:space="preserve"> </w:t>
      </w:r>
      <w:r>
        <w:tab/>
        <w:t>Ethnographical Notes on the Western-Australian Aborigines, in Internationales Archiv. f. Ethnographie, XVI, pp. 6-7. Cf. WITHNAL, Marriage Rites and Relationship, in Science of Man, 1903, p. 42.</w:t>
      </w:r>
    </w:p>
  </w:footnote>
  <w:footnote w:id="178">
    <w:p w:rsidR="003F2F8E" w:rsidRDefault="003F2F8E">
      <w:pPr>
        <w:pStyle w:val="Testonotaapidipagina"/>
      </w:pPr>
      <w:r>
        <w:rPr>
          <w:rStyle w:val="Rimandonotaapidipagina"/>
        </w:rPr>
        <w:footnoteRef/>
      </w:r>
      <w:r>
        <w:t xml:space="preserve"> </w:t>
      </w:r>
      <w:r>
        <w:tab/>
        <w:t>Nous supposons qu'un sous-totem peut avoir un tarlow parce que, suivant Clement, certains clans ont plusieurs totems.</w:t>
      </w:r>
    </w:p>
  </w:footnote>
  <w:footnote w:id="179">
    <w:p w:rsidR="003F2F8E" w:rsidRDefault="003F2F8E">
      <w:pPr>
        <w:pStyle w:val="Testonotaapidipagina"/>
      </w:pPr>
      <w:r>
        <w:rPr>
          <w:rStyle w:val="Rimandonotaapidipagina"/>
        </w:rPr>
        <w:footnoteRef/>
      </w:r>
      <w:r>
        <w:t xml:space="preserve"> </w:t>
      </w:r>
      <w:r>
        <w:tab/>
        <w:t>Clement dit a tribal-family.</w:t>
      </w:r>
    </w:p>
  </w:footnote>
  <w:footnote w:id="180">
    <w:p w:rsidR="003F2F8E" w:rsidRDefault="003F2F8E">
      <w:pPr>
        <w:pStyle w:val="Testonotaapidipagina"/>
      </w:pPr>
      <w:r>
        <w:rPr>
          <w:rStyle w:val="Rimandonotaapidipagina"/>
        </w:rPr>
        <w:footnoteRef/>
      </w:r>
      <w:r>
        <w:t xml:space="preserve"> </w:t>
      </w:r>
      <w:r>
        <w:tab/>
        <w:t>Nous expliquerons plus bas (p. 517) en quoi consiste cette impropriété.</w:t>
      </w:r>
    </w:p>
  </w:footnote>
  <w:footnote w:id="181">
    <w:p w:rsidR="003F2F8E" w:rsidRDefault="003F2F8E">
      <w:pPr>
        <w:pStyle w:val="Testonotaapidipagina"/>
      </w:pPr>
      <w:r>
        <w:rPr>
          <w:rStyle w:val="Rimandonotaapidipagina"/>
        </w:rPr>
        <w:footnoteRef/>
      </w:r>
      <w:r>
        <w:t xml:space="preserve"> </w:t>
      </w:r>
      <w:r>
        <w:tab/>
        <w:t>Voir sur cette classification FRAZER, Lectures on the Early History of Kingship, p. 37 et suiv.; HUBERT et Mauss, Théorie générale de la magie, p. 61 et suiv.</w:t>
      </w:r>
    </w:p>
  </w:footnote>
  <w:footnote w:id="182">
    <w:p w:rsidR="003F2F8E" w:rsidRDefault="003F2F8E">
      <w:pPr>
        <w:pStyle w:val="Testonotaapidipagina"/>
      </w:pPr>
      <w:r>
        <w:rPr>
          <w:rStyle w:val="Rimandonotaapidipagina"/>
        </w:rPr>
        <w:footnoteRef/>
      </w:r>
      <w:r>
        <w:t xml:space="preserve"> </w:t>
      </w:r>
      <w:r>
        <w:tab/>
        <w:t>Nous ne disons rien de ce qu'on a appelé la loi de contrariété; car, comme l'ont montré MM. HUBERT et MAUSS, le contraire ne produit son contraire que par l'intermédiaire du semblable (Théorie générale de la magie, p. 70).</w:t>
      </w:r>
    </w:p>
  </w:footnote>
  <w:footnote w:id="183">
    <w:p w:rsidR="003F2F8E" w:rsidRDefault="003F2F8E">
      <w:pPr>
        <w:pStyle w:val="Testonotaapidipagina"/>
      </w:pPr>
      <w:r>
        <w:rPr>
          <w:rStyle w:val="Rimandonotaapidipagina"/>
        </w:rPr>
        <w:footnoteRef/>
      </w:r>
      <w:r>
        <w:t xml:space="preserve"> </w:t>
      </w:r>
      <w:r>
        <w:tab/>
        <w:t>Lectures on the Early History of Kingship, p. 39.</w:t>
      </w:r>
    </w:p>
  </w:footnote>
  <w:footnote w:id="184">
    <w:p w:rsidR="003F2F8E" w:rsidRDefault="003F2F8E">
      <w:pPr>
        <w:pStyle w:val="Testonotaapidipagina"/>
      </w:pPr>
      <w:r>
        <w:rPr>
          <w:rStyle w:val="Rimandonotaapidipagina"/>
        </w:rPr>
        <w:footnoteRef/>
      </w:r>
      <w:r>
        <w:t xml:space="preserve"> </w:t>
      </w:r>
      <w:r>
        <w:tab/>
        <w:t>Elle s'y applique en ce sens qu'il y a réellement assimilation de la statuette et de la personne envoûtée. Mais il s'en faut que cette assimilation soit un simple produit de l'association des idées par similarité. La vraie cause déterminante du phénomène, c'est la contagiosité propre aux forces religieuses, ainsi que nous l'avons montré.</w:t>
      </w:r>
    </w:p>
  </w:footnote>
  <w:footnote w:id="185">
    <w:p w:rsidR="003F2F8E" w:rsidRDefault="003F2F8E">
      <w:pPr>
        <w:pStyle w:val="Testonotaapidipagina"/>
      </w:pPr>
      <w:r>
        <w:rPr>
          <w:rStyle w:val="Rimandonotaapidipagina"/>
        </w:rPr>
        <w:footnoteRef/>
      </w:r>
      <w:r>
        <w:t xml:space="preserve"> </w:t>
      </w:r>
      <w:r>
        <w:tab/>
        <w:t>Sur les causes qui déterminent cette manifestation extérieure, v. plus haut, p. 329 et suiv.</w:t>
      </w:r>
    </w:p>
  </w:footnote>
  <w:footnote w:id="186">
    <w:p w:rsidR="003F2F8E" w:rsidRDefault="003F2F8E">
      <w:pPr>
        <w:pStyle w:val="Testonotaapidipagina"/>
      </w:pPr>
      <w:r>
        <w:rPr>
          <w:rStyle w:val="Rimandonotaapidipagina"/>
        </w:rPr>
        <w:footnoteRef/>
      </w:r>
      <w:r>
        <w:t xml:space="preserve"> </w:t>
      </w:r>
      <w:r>
        <w:tab/>
        <w:t>Lucien Lévy-Bruhl, Les fonctions mentales dans les sociétés inférieures, pp. 61-68.</w:t>
      </w:r>
    </w:p>
  </w:footnote>
  <w:footnote w:id="187">
    <w:p w:rsidR="003F2F8E" w:rsidRDefault="003F2F8E">
      <w:pPr>
        <w:pStyle w:val="Testonotaapidipagina"/>
      </w:pPr>
      <w:r>
        <w:rPr>
          <w:rStyle w:val="Rimandonotaapidipagina"/>
        </w:rPr>
        <w:footnoteRef/>
      </w:r>
      <w:r>
        <w:t xml:space="preserve"> </w:t>
      </w:r>
      <w:r>
        <w:tab/>
        <w:t>Golden Bough 2, I, pp. 69-75.</w:t>
      </w:r>
    </w:p>
  </w:footnote>
  <w:footnote w:id="188">
    <w:p w:rsidR="003F2F8E" w:rsidRDefault="003F2F8E">
      <w:pPr>
        <w:pStyle w:val="Testonotaapidipagina"/>
      </w:pPr>
      <w:r>
        <w:rPr>
          <w:rStyle w:val="Rimandonotaapidipagina"/>
        </w:rPr>
        <w:footnoteRef/>
      </w:r>
      <w:r>
        <w:t xml:space="preserve"> </w:t>
      </w:r>
      <w:r>
        <w:tab/>
        <w:t>Nous n'entendons pas dire qu'il y ait eu un temps où la religion aurait existé sans la magie. Vraisemblablement, au fur et à mesure que la religion s'est formée, certains de ses principes ont été étendus à des relations non religieuses et elle s'est ainsi complétée par une magie plus ou moins développée. Mais si ces deux systèmes d'idées et de pratiques ne correspondent pas à des phases historiques distinctes, il ne laisse pas d'y avoir entre elles un rapport de dérivation défini. C'est tout ce que nous nous sommes proposé d'établir.</w:t>
      </w:r>
    </w:p>
  </w:footnote>
  <w:footnote w:id="189">
    <w:p w:rsidR="003F2F8E" w:rsidRDefault="003F2F8E">
      <w:pPr>
        <w:pStyle w:val="Testonotaapidipagina"/>
      </w:pPr>
      <w:r>
        <w:rPr>
          <w:rStyle w:val="Rimandonotaapidipagina"/>
        </w:rPr>
        <w:footnoteRef/>
      </w:r>
      <w:r>
        <w:t xml:space="preserve"> </w:t>
      </w:r>
      <w:r>
        <w:tab/>
        <w:t>Loc. cit., p. 108 et suiv.</w:t>
      </w:r>
    </w:p>
  </w:footnote>
  <w:footnote w:id="190">
    <w:p w:rsidR="003F2F8E" w:rsidRDefault="003F2F8E">
      <w:pPr>
        <w:pStyle w:val="Testonotaapidipagina"/>
      </w:pPr>
      <w:r>
        <w:rPr>
          <w:rStyle w:val="Rimandonotaapidipagina"/>
        </w:rPr>
        <w:footnoteRef/>
      </w:r>
      <w:r>
        <w:t xml:space="preserve"> </w:t>
      </w:r>
      <w:r>
        <w:tab/>
        <w:t>V. plus haut, pp. 290-292.</w:t>
      </w:r>
    </w:p>
  </w:footnote>
  <w:footnote w:id="191">
    <w:p w:rsidR="003F2F8E" w:rsidRDefault="003F2F8E">
      <w:pPr>
        <w:pStyle w:val="Testonotaapidipagina"/>
      </w:pPr>
      <w:r>
        <w:rPr>
          <w:rStyle w:val="Rimandonotaapidipagina"/>
        </w:rPr>
        <w:footnoteRef/>
      </w:r>
      <w:r>
        <w:t xml:space="preserve"> </w:t>
      </w:r>
      <w:r>
        <w:tab/>
        <w:t>Sans doute, il existe des sociétés animales. Toutefois, le mot n'a pas tout à fait le même sens selon qu'il s'applique aux hommes ou aux animaux. L'institution est le fait caractéristique des sociétés humaines; il n'existe pas d'institutions dans les sociétés animales.</w:t>
      </w:r>
    </w:p>
  </w:footnote>
  <w:footnote w:id="192">
    <w:p w:rsidR="003F2F8E" w:rsidRDefault="003F2F8E">
      <w:pPr>
        <w:pStyle w:val="Testonotaapidipagina"/>
      </w:pPr>
      <w:r>
        <w:rPr>
          <w:rStyle w:val="Rimandonotaapidipagina"/>
        </w:rPr>
        <w:footnoteRef/>
      </w:r>
      <w:r>
        <w:t xml:space="preserve"> </w:t>
      </w:r>
      <w:r>
        <w:tab/>
        <w:t>L'idée de cause n'est pas la même pour un savant et pour un homme dépourvu (le toute culture scientifique. D'autre part, beaucoup de nos contemporains entendent différemment le principe de causalité suivant qu'ils l'appliquent à des faits sociaux ou à des faits physicochimiques. On a souvent, de la causalité, dans l'ordre social, une conception qui rappelle singulièrement celle qui fut, pendant si longtemps, à la base de la magie. On peut même se demander si un physicien et un biologiste se représentent le rapport causal de la même façon.</w:t>
      </w:r>
    </w:p>
  </w:footnote>
  <w:footnote w:id="193">
    <w:p w:rsidR="003F2F8E" w:rsidRDefault="003F2F8E">
      <w:pPr>
        <w:pStyle w:val="Testonotaapidipagina"/>
      </w:pPr>
      <w:r>
        <w:rPr>
          <w:rStyle w:val="Rimandonotaapidipagina"/>
        </w:rPr>
        <w:footnoteRef/>
      </w:r>
      <w:r>
        <w:t xml:space="preserve"> </w:t>
      </w:r>
      <w:r>
        <w:tab/>
        <w:t xml:space="preserve">Ces cérémonies ne sont naturellement pas suivies d'une communion alimentaire. D'après Strehlow, elles portent, au moins quand il s'agit de plantes non comestibles, un nom générique distinct : on les appelle, non mbatjalkatiuma, mais </w:t>
      </w:r>
      <w:r>
        <w:rPr>
          <w:i/>
          <w:iCs/>
        </w:rPr>
        <w:t xml:space="preserve">knujilelama </w:t>
      </w:r>
      <w:r>
        <w:t>(STREHLOW, III, p. 96).</w:t>
      </w:r>
    </w:p>
  </w:footnote>
  <w:footnote w:id="194">
    <w:p w:rsidR="003F2F8E" w:rsidRDefault="003F2F8E">
      <w:pPr>
        <w:pStyle w:val="Testonotaapidipagina"/>
      </w:pPr>
      <w:r>
        <w:rPr>
          <w:rStyle w:val="Rimandonotaapidipagina"/>
        </w:rPr>
        <w:footnoteRef/>
      </w:r>
      <w:r>
        <w:t xml:space="preserve"> </w:t>
      </w:r>
      <w:r>
        <w:tab/>
        <w:t>STREHLOW, III, p. 8.</w:t>
      </w:r>
    </w:p>
  </w:footnote>
  <w:footnote w:id="195">
    <w:p w:rsidR="003F2F8E" w:rsidRDefault="003F2F8E">
      <w:pPr>
        <w:pStyle w:val="Testonotaapidipagina"/>
      </w:pPr>
      <w:r>
        <w:rPr>
          <w:rStyle w:val="Rimandonotaapidipagina"/>
        </w:rPr>
        <w:footnoteRef/>
      </w:r>
      <w:r>
        <w:t xml:space="preserve"> </w:t>
      </w:r>
      <w:r>
        <w:tab/>
        <w:t>Les Warramunga ne sont pas les seuls où l'Intichiuma présente la forme que nous allons décrire. On l'observe également chez les Tjingilli, les Umbaia, les Wulmala, les Walpari et même chez les Kaitish, bien que le rituel de ces derniers rappelle, par certains côtés, celui des Arunta (North. Tr., pp. 291, 309, 311, 317). Si nous prenons les Warramunga comme type, c'est qu'ils ont été mieux étudiés par Spencer et Gillen.</w:t>
      </w:r>
    </w:p>
  </w:footnote>
  <w:footnote w:id="196">
    <w:p w:rsidR="003F2F8E" w:rsidRDefault="003F2F8E">
      <w:pPr>
        <w:pStyle w:val="Testonotaapidipagina"/>
      </w:pPr>
      <w:r>
        <w:rPr>
          <w:rStyle w:val="Rimandonotaapidipagina"/>
        </w:rPr>
        <w:footnoteRef/>
      </w:r>
      <w:r>
        <w:t xml:space="preserve"> </w:t>
      </w:r>
      <w:r>
        <w:tab/>
        <w:t>C'est le cas de l'Intichiuma du kakatoès blanc ; v. plus haut, p. 504.</w:t>
      </w:r>
    </w:p>
  </w:footnote>
  <w:footnote w:id="197">
    <w:p w:rsidR="003F2F8E" w:rsidRDefault="003F2F8E">
      <w:pPr>
        <w:pStyle w:val="Testonotaapidipagina"/>
      </w:pPr>
      <w:r>
        <w:rPr>
          <w:rStyle w:val="Rimandonotaapidipagina"/>
        </w:rPr>
        <w:footnoteRef/>
      </w:r>
      <w:r>
        <w:t xml:space="preserve"> </w:t>
      </w:r>
      <w:r>
        <w:tab/>
        <w:t>North. Tr., p. 300 et suiv.</w:t>
      </w:r>
    </w:p>
  </w:footnote>
  <w:footnote w:id="198">
    <w:p w:rsidR="003F2F8E" w:rsidRDefault="003F2F8E">
      <w:pPr>
        <w:pStyle w:val="Testonotaapidipagina"/>
      </w:pPr>
      <w:r>
        <w:rPr>
          <w:rStyle w:val="Rimandonotaapidipagina"/>
        </w:rPr>
        <w:footnoteRef/>
      </w:r>
      <w:r>
        <w:t xml:space="preserve"> </w:t>
      </w:r>
      <w:r>
        <w:tab/>
        <w:t>Un des deux acteurs appartient non au clan du Serpent noir, mais à celui du Corbeau. C'est que le Corbeau est considéré comme un « associé à du Serpent noir; autrement dit, c'en est un sous-totem.</w:t>
      </w:r>
    </w:p>
  </w:footnote>
  <w:footnote w:id="199">
    <w:p w:rsidR="003F2F8E" w:rsidRDefault="003F2F8E">
      <w:pPr>
        <w:pStyle w:val="Testonotaapidipagina"/>
      </w:pPr>
      <w:r>
        <w:rPr>
          <w:rStyle w:val="Rimandonotaapidipagina"/>
        </w:rPr>
        <w:footnoteRef/>
      </w:r>
      <w:r>
        <w:t xml:space="preserve"> </w:t>
      </w:r>
      <w:r>
        <w:tab/>
        <w:t>North. Tr., p. 302.</w:t>
      </w:r>
    </w:p>
  </w:footnote>
  <w:footnote w:id="200">
    <w:p w:rsidR="003F2F8E" w:rsidRDefault="003F2F8E">
      <w:pPr>
        <w:pStyle w:val="Testonotaapidipagina"/>
      </w:pPr>
      <w:r>
        <w:rPr>
          <w:rStyle w:val="Rimandonotaapidipagina"/>
        </w:rPr>
        <w:footnoteRef/>
      </w:r>
      <w:r>
        <w:t xml:space="preserve"> </w:t>
      </w:r>
      <w:r>
        <w:tab/>
        <w:t>Ibid., p. 305.</w:t>
      </w:r>
    </w:p>
  </w:footnote>
  <w:footnote w:id="201">
    <w:p w:rsidR="003F2F8E" w:rsidRDefault="003F2F8E">
      <w:pPr>
        <w:pStyle w:val="Testonotaapidipagina"/>
      </w:pPr>
      <w:r>
        <w:rPr>
          <w:rStyle w:val="Rimandonotaapidipagina"/>
        </w:rPr>
        <w:footnoteRef/>
      </w:r>
      <w:r>
        <w:t xml:space="preserve"> </w:t>
      </w:r>
      <w:r>
        <w:tab/>
        <w:t>V. SPENCER et GILLEN, Nat. Tr., p. 188 ; STREHLOW, III, p. 5.</w:t>
      </w:r>
    </w:p>
  </w:footnote>
  <w:footnote w:id="202">
    <w:p w:rsidR="003F2F8E" w:rsidRDefault="003F2F8E">
      <w:pPr>
        <w:pStyle w:val="Testonotaapidipagina"/>
      </w:pPr>
      <w:r>
        <w:rPr>
          <w:rStyle w:val="Rimandonotaapidipagina"/>
        </w:rPr>
        <w:footnoteRef/>
      </w:r>
      <w:r>
        <w:t xml:space="preserve"> </w:t>
      </w:r>
      <w:r>
        <w:tab/>
        <w:t>C'est ce que reconnaît Strehlow lui-même : « L'ancêtre totémique et son descendant, c'est-à-dire celui qui le représente (der Darsteller), sont présentés dans ces chants sacrés comme ne faisant qu'un » (III, p. 6). Comme ce fait incontestable contredit la thèse d'après laquelle les âmes ancestrales ne se réincarneraient pas, Strehlow, il est vrai, ajoute en note que, , au cours de la cérémonie, il n'y a pas incarnation proprement dite de l'ancêtre dans la personne qui le représente ». Si Strehlow veut dire que l'incarnation n'a pas lieu à l'occasion de la cérémonie, rien n'est plus certain. Mais s'il entend qu'il n'y a pas l'incarnation du tout, nous ne comprenons pas comment l'officiant et l'ancêtre peuvent se confondre.</w:t>
      </w:r>
    </w:p>
  </w:footnote>
  <w:footnote w:id="203">
    <w:p w:rsidR="003F2F8E" w:rsidRDefault="003F2F8E">
      <w:pPr>
        <w:pStyle w:val="Testonotaapidipagina"/>
      </w:pPr>
      <w:r>
        <w:rPr>
          <w:rStyle w:val="Rimandonotaapidipagina"/>
        </w:rPr>
        <w:footnoteRef/>
      </w:r>
      <w:r>
        <w:t xml:space="preserve"> </w:t>
      </w:r>
      <w:r>
        <w:tab/>
        <w:t>Peut-être cette différence vient-elle en partie de ce que, chez les Warramunga, chaque clan est censé descendre d'un seul et unique ancêtre autour duquel l'histoire légendaire du clan est venue se concentrer. C'est cet ancêtre que le rite commémore ; or, l'officiant n'en descend pas nécessairement. On peut même se demander si ces chefs mythiques, sorte de demi-dieux, sont soumis à la réincarnation.</w:t>
      </w:r>
    </w:p>
  </w:footnote>
  <w:footnote w:id="204">
    <w:p w:rsidR="003F2F8E" w:rsidRDefault="003F2F8E">
      <w:pPr>
        <w:pStyle w:val="Testonotaapidipagina"/>
      </w:pPr>
      <w:r>
        <w:rPr>
          <w:rStyle w:val="Rimandonotaapidipagina"/>
        </w:rPr>
        <w:footnoteRef/>
      </w:r>
      <w:r>
        <w:t xml:space="preserve"> </w:t>
      </w:r>
      <w:r>
        <w:tab/>
        <w:t xml:space="preserve">Dans cet Intichiuma, trois assistants représentent des ancêtre$ d'une considérable antiquité » ; ils jouent un véritable rôle </w:t>
      </w:r>
      <w:r>
        <w:rPr>
          <w:i/>
          <w:iCs/>
        </w:rPr>
        <w:t xml:space="preserve">(Nat. Tr., </w:t>
      </w:r>
      <w:r>
        <w:t>pp. 181-1812). SPENCER et GILLEN ajoutent, il est vrai, qu'il s'agit d'ancêtres postérieurs à l'époque de l'Alcheringa. Mais ils ne laissent pas d'être des personnages mythiques, représentés au cours d'un rite.</w:t>
      </w:r>
    </w:p>
  </w:footnote>
  <w:footnote w:id="205">
    <w:p w:rsidR="003F2F8E" w:rsidRDefault="003F2F8E">
      <w:pPr>
        <w:pStyle w:val="Testonotaapidipagina"/>
      </w:pPr>
      <w:r>
        <w:rPr>
          <w:rStyle w:val="Rimandonotaapidipagina"/>
        </w:rPr>
        <w:footnoteRef/>
      </w:r>
      <w:r>
        <w:t xml:space="preserve"> </w:t>
      </w:r>
      <w:r>
        <w:tab/>
        <w:t>On ne nous parle pas, en effet, de rochers ou de trous d'eau sacrés.. Le centre de la cérémonie est une image de l'émou qui est dessinée sur le sol et qui petit être exécutée en un endroit quelconque.</w:t>
      </w:r>
    </w:p>
  </w:footnote>
  <w:footnote w:id="206">
    <w:p w:rsidR="003F2F8E" w:rsidRDefault="003F2F8E">
      <w:pPr>
        <w:pStyle w:val="Testonotaapidipagina"/>
      </w:pPr>
      <w:r>
        <w:rPr>
          <w:rStyle w:val="Rimandonotaapidipagina"/>
        </w:rPr>
        <w:footnoteRef/>
      </w:r>
      <w:r>
        <w:t xml:space="preserve"> </w:t>
      </w:r>
      <w:r>
        <w:tab/>
        <w:t>Nous n'entendons pas dire, d'ailleurs, que toutes les cérémonies des Warramunga soient de ce type. L'exemple du kakatoès blanc, dont il a été question plus haut, prouve qu'il y a des exceptions.</w:t>
      </w:r>
    </w:p>
  </w:footnote>
  <w:footnote w:id="207">
    <w:p w:rsidR="003F2F8E" w:rsidRDefault="003F2F8E">
      <w:pPr>
        <w:pStyle w:val="Testonotaapidipagina"/>
      </w:pPr>
      <w:r>
        <w:rPr>
          <w:rStyle w:val="Rimandonotaapidipagina"/>
        </w:rPr>
        <w:footnoteRef/>
      </w:r>
      <w:r>
        <w:t xml:space="preserve"> </w:t>
      </w:r>
      <w:r>
        <w:tab/>
        <w:t>North, Tr., p, 226 et suiv, Cf, sur le même sujet quelques passages de EYLMANN qui se rapportent évi</w:t>
      </w:r>
      <w:r>
        <w:softHyphen/>
        <w:t>dem</w:t>
      </w:r>
      <w:r>
        <w:softHyphen/>
        <w:t>ment au même être mythique (Die Eingeborenen, etc., p. 185). Strehlow nous signale également chez les Arunta un serpent mythique (Kulaia, serpent d'eau) qui pourrait bien n'être pas très différent du Wollunqua (STREHLOW, I, p. 78; cf. II, p. 71 où le Kulala figure sur la liste des totems).</w:t>
      </w:r>
    </w:p>
  </w:footnote>
  <w:footnote w:id="208">
    <w:p w:rsidR="003F2F8E" w:rsidRDefault="003F2F8E">
      <w:pPr>
        <w:pStyle w:val="Testonotaapidipagina"/>
      </w:pPr>
      <w:r>
        <w:rPr>
          <w:rStyle w:val="Rimandonotaapidipagina"/>
        </w:rPr>
        <w:footnoteRef/>
      </w:r>
      <w:r>
        <w:t xml:space="preserve"> </w:t>
      </w:r>
      <w:r>
        <w:tab/>
        <w:t>Pour ne pas compliquer la terminologie, nous nous servons du mot arunta : chez les Warramunga, on appelle Wingara cette période mythique.</w:t>
      </w:r>
    </w:p>
  </w:footnote>
  <w:footnote w:id="209">
    <w:p w:rsidR="003F2F8E" w:rsidRDefault="003F2F8E">
      <w:pPr>
        <w:pStyle w:val="Testonotaapidipagina"/>
      </w:pPr>
      <w:r>
        <w:rPr>
          <w:rStyle w:val="Rimandonotaapidipagina"/>
        </w:rPr>
        <w:footnoteRef/>
      </w:r>
      <w:r>
        <w:t xml:space="preserve"> </w:t>
      </w:r>
      <w:r>
        <w:tab/>
        <w:t>« Il n'est pas aisé, disent SPENCER et GILLEN, d'exprimer avec des mots ce qui est plutôt chez les indigènes un vague sentiment. Mais après avoir observé attentivement les différentes' cérémonies, nous avons eu très nettement l'impression que, dans l'esprit des indigènes, le Wollunqua répondait à l'idée d'un totem dominant » (North. Tr., p, 248).</w:t>
      </w:r>
    </w:p>
  </w:footnote>
  <w:footnote w:id="210">
    <w:p w:rsidR="003F2F8E" w:rsidRDefault="003F2F8E">
      <w:pPr>
        <w:pStyle w:val="Testonotaapidipagina"/>
      </w:pPr>
      <w:r>
        <w:rPr>
          <w:rStyle w:val="Rimandonotaapidipagina"/>
        </w:rPr>
        <w:footnoteRef/>
      </w:r>
      <w:r>
        <w:t xml:space="preserve"> </w:t>
      </w:r>
      <w:r>
        <w:tab/>
        <w:t>L'une des plus solennelles de ces cérémonies est celle que nous avons eu l'occasion de décrire plus haut (pp. 311-312), au cours de laquelle une image du Wollunqua est dessinée sur une sorte de tumulus qui est ensuite mis en pièces an milieu d'une effervescence générale.</w:t>
      </w:r>
    </w:p>
  </w:footnote>
  <w:footnote w:id="211">
    <w:p w:rsidR="003F2F8E" w:rsidRDefault="003F2F8E">
      <w:pPr>
        <w:pStyle w:val="Testonotaapidipagina"/>
      </w:pPr>
      <w:r>
        <w:rPr>
          <w:rStyle w:val="Rimandonotaapidipagina"/>
        </w:rPr>
        <w:footnoteRef/>
      </w:r>
      <w:r>
        <w:t xml:space="preserve"> </w:t>
      </w:r>
      <w:r>
        <w:tab/>
        <w:t>North, Tr., pp. 227, 248.</w:t>
      </w:r>
    </w:p>
  </w:footnote>
  <w:footnote w:id="212">
    <w:p w:rsidR="003F2F8E" w:rsidRDefault="003F2F8E">
      <w:pPr>
        <w:pStyle w:val="Testonotaapidipagina"/>
      </w:pPr>
      <w:r>
        <w:rPr>
          <w:rStyle w:val="Rimandonotaapidipagina"/>
        </w:rPr>
        <w:footnoteRef/>
      </w:r>
      <w:r>
        <w:t xml:space="preserve"> </w:t>
      </w:r>
      <w:r>
        <w:tab/>
        <w:t>Voici en quels termes s'expriment SPENCER et GILLEN dans le seul passage où il soit question d'un rapport possible entre le Wollunqua et le phénomène de la pluie. Quelques jours après le rite célébré autour du tumulus, « les vieillards déclarèrent qu'ils avaient entendu parler le Wollunqua, qu'il était satisfait de ce qui s'était passé et qu'il allait envoyer de la pluie. La raison de cette prophétie, c'est qu'ils avaient entendu, comme nous-mêmes, le tonnerre retentir à quelque distance de là ». La production de la pluie est si peu l'objet immédiat de la cérémonie qu'on ne l'imputa au Wollunqua que plusieurs jours après la célébration du rite et à la suite de circonstances accidentelles. Un autre fait montre combien les idées des indigènes sont vagues sur ce point. Quelques lignes plus loin, le tonnerre est présenté comme un signe, non de la satisfaction du Wollunqua, mais de son mécontentement. Malgré les pronostics, continuent nos auteurs, « la pluie ne tomba point. Mais quelques jours après, on entendit de nouveau la tonnerre retentir au loin. Les anciens dirent que le Wollunqua grondait parce qu'il n'était pas content » de la manière dont le rite avait été accompli. Ainsi, un même phénomène, le bruit du tonnerre, est tantôt interprété comme un signe de dispositions favorables, tantôt comme un indice d'intentions malveillantes.</w:t>
      </w:r>
    </w:p>
    <w:p w:rsidR="003F2F8E" w:rsidRDefault="003F2F8E">
      <w:pPr>
        <w:pStyle w:val="Testonotaapidipagina"/>
        <w:ind w:firstLine="346"/>
      </w:pPr>
      <w:r>
        <w:t>Il y a cependant un détail rituel qui, si l'on acceptait l'explication qu'en proposent Spencer et Gillen, serait directement efficace. Suivant eux, la destruction du tumulus serait destinée à effrayer le Wollunqua et à l'empêcher, par une contrainte magique, de quitter sa retraite. Mais cette interprétation nous paraît très suspecte. En effet, dans la circonstance dont il vient d'être question et où l'on annonça que le Wollunqua était mécontent, ce mécontentement était attribué à ce que l'on avait négligé de faire disparaître les débris du tumulus. Cette disparition est donc réclamée par le Wollunqua lui-même, bien loin qu'elle soit destinée à l'intimider et à exercer sur lui une influence coercitive. Ce n'est probablement qu'un cas particulier d'une règle plus générale qui est en vigueur chez les Warramunga : les instruments du culte doivent être détruits après chaque cérémonie. C'est ainsi que les ornements rituels dont sont revêtus les officiants leur sont violemment arrachés, une fois que le rite est déterminé (North. Tr., p. 205).</w:t>
      </w:r>
    </w:p>
  </w:footnote>
  <w:footnote w:id="213">
    <w:p w:rsidR="003F2F8E" w:rsidRDefault="003F2F8E">
      <w:pPr>
        <w:pStyle w:val="Testonotaapidipagina"/>
      </w:pPr>
      <w:r>
        <w:rPr>
          <w:rStyle w:val="Rimandonotaapidipagina"/>
        </w:rPr>
        <w:footnoteRef/>
      </w:r>
      <w:r>
        <w:t xml:space="preserve"> </w:t>
      </w:r>
      <w:r>
        <w:tab/>
        <w:t>North. Tr., pp. 207-208.</w:t>
      </w:r>
    </w:p>
  </w:footnote>
  <w:footnote w:id="214">
    <w:p w:rsidR="003F2F8E" w:rsidRDefault="003F2F8E">
      <w:pPr>
        <w:pStyle w:val="Testonotaapidipagina"/>
      </w:pPr>
      <w:r>
        <w:rPr>
          <w:rStyle w:val="Rimandonotaapidipagina"/>
        </w:rPr>
        <w:footnoteRef/>
      </w:r>
      <w:r>
        <w:t xml:space="preserve"> </w:t>
      </w:r>
      <w:r>
        <w:tab/>
        <w:t>Ibid., p. 210.</w:t>
      </w:r>
    </w:p>
  </w:footnote>
  <w:footnote w:id="215">
    <w:p w:rsidR="003F2F8E" w:rsidRDefault="003F2F8E">
      <w:pPr>
        <w:pStyle w:val="Testonotaapidipagina"/>
      </w:pPr>
      <w:r>
        <w:rPr>
          <w:rStyle w:val="Rimandonotaapidipagina"/>
        </w:rPr>
        <w:footnoteRef/>
      </w:r>
      <w:r>
        <w:t xml:space="preserve"> </w:t>
      </w:r>
      <w:r>
        <w:tab/>
        <w:t>V. dans la liste des totems dressée par STREHLOW, les nos 432-442 (II, p. 72).</w:t>
      </w:r>
    </w:p>
  </w:footnote>
  <w:footnote w:id="216">
    <w:p w:rsidR="003F2F8E" w:rsidRDefault="003F2F8E">
      <w:pPr>
        <w:pStyle w:val="Testonotaapidipagina"/>
      </w:pPr>
      <w:r>
        <w:rPr>
          <w:rStyle w:val="Rimandonotaapidipagina"/>
        </w:rPr>
        <w:footnoteRef/>
      </w:r>
      <w:r>
        <w:t xml:space="preserve"> </w:t>
      </w:r>
      <w:r>
        <w:tab/>
        <w:t>V. STREHLOW, III, p. 8. Il y a également chez les Arunta un totem Worra qui ressemble beaucoup au totem du « garçon qui rit » chez les Warramunga (ibid. et Ill, p. 124). Worra signifie jeunes gens. La cérémonie a pour objet de faire en sorte que les jeunes gens prennent plus de plaisir au jeu de labara (v. sur ce jeu STREHLOW, I, p. 55, no 1).</w:t>
      </w:r>
    </w:p>
  </w:footnote>
  <w:footnote w:id="217">
    <w:p w:rsidR="003F2F8E" w:rsidRDefault="003F2F8E">
      <w:pPr>
        <w:pStyle w:val="Testonotaapidipagina"/>
      </w:pPr>
      <w:r>
        <w:rPr>
          <w:rStyle w:val="Rimandonotaapidipagina"/>
        </w:rPr>
        <w:footnoteRef/>
      </w:r>
      <w:r>
        <w:t xml:space="preserve"> </w:t>
      </w:r>
      <w:r>
        <w:tab/>
        <w:t>V. plus haut, p. 534.</w:t>
      </w:r>
    </w:p>
  </w:footnote>
  <w:footnote w:id="218">
    <w:p w:rsidR="003F2F8E" w:rsidRDefault="003F2F8E">
      <w:pPr>
        <w:pStyle w:val="Testonotaapidipagina"/>
      </w:pPr>
      <w:r>
        <w:rPr>
          <w:rStyle w:val="Rimandonotaapidipagina"/>
        </w:rPr>
        <w:footnoteRef/>
      </w:r>
      <w:r>
        <w:t xml:space="preserve"> </w:t>
      </w:r>
      <w:r>
        <w:tab/>
        <w:t>On trouvera un cas de ce genre dans North. Tr., p. 204.</w:t>
      </w:r>
    </w:p>
  </w:footnote>
  <w:footnote w:id="219">
    <w:p w:rsidR="003F2F8E" w:rsidRDefault="003F2F8E">
      <w:pPr>
        <w:pStyle w:val="Testonotaapidipagina"/>
      </w:pPr>
      <w:r>
        <w:rPr>
          <w:rStyle w:val="Rimandonotaapidipagina"/>
        </w:rPr>
        <w:footnoteRef/>
      </w:r>
      <w:r>
        <w:t xml:space="preserve"> </w:t>
      </w:r>
      <w:r>
        <w:tab/>
        <w:t>Nat. Tr., p. 118 et no 2, p. 618 et suiv.; North. Tr., p. 716 et suiv. Il y a toutefois des cérémonies sacrées dont les femmes ne sont pas totalement exclues (v. par exemple, North. Tr., p. 375 et suiv.); mais c'est l'exception.</w:t>
      </w:r>
    </w:p>
  </w:footnote>
  <w:footnote w:id="220">
    <w:p w:rsidR="003F2F8E" w:rsidRDefault="003F2F8E">
      <w:pPr>
        <w:pStyle w:val="Testonotaapidipagina"/>
      </w:pPr>
      <w:r>
        <w:rPr>
          <w:rStyle w:val="Rimandonotaapidipagina"/>
        </w:rPr>
        <w:footnoteRef/>
      </w:r>
      <w:r>
        <w:t xml:space="preserve"> </w:t>
      </w:r>
      <w:r>
        <w:tab/>
        <w:t>V. Nat. Tr., p. 329 et suiv.; North. Tr., p. 210 et suiv.</w:t>
      </w:r>
    </w:p>
  </w:footnote>
  <w:footnote w:id="221">
    <w:p w:rsidR="003F2F8E" w:rsidRDefault="003F2F8E">
      <w:pPr>
        <w:pStyle w:val="Testonotaapidipagina"/>
      </w:pPr>
      <w:r>
        <w:rPr>
          <w:rStyle w:val="Rimandonotaapidipagina"/>
        </w:rPr>
        <w:footnoteRef/>
      </w:r>
      <w:r>
        <w:t xml:space="preserve"> </w:t>
      </w:r>
      <w:r>
        <w:tab/>
        <w:t>C'est le cas, par exemple, du corrobbori du Molonga chez les Pitta-Pitta du Queensland et les tribus voisines (v. ROTH, Ethnog. Studies among the N. W. Central Queensland Aborigines, p. 120 et suiv.). - On trouvera sur les corrobbori ordinaires des renseignements dans STIRLING, Rep. of the Horn Expedition Io Central Australia, Part. IV, p. 72 et dans ROTH, Op. cit., p. 117 et suiv.</w:t>
      </w:r>
    </w:p>
  </w:footnote>
  <w:footnote w:id="222">
    <w:p w:rsidR="003F2F8E" w:rsidRDefault="003F2F8E">
      <w:pPr>
        <w:pStyle w:val="Testonotaapidipagina"/>
      </w:pPr>
      <w:r>
        <w:rPr>
          <w:rStyle w:val="Rimandonotaapidipagina"/>
        </w:rPr>
        <w:footnoteRef/>
      </w:r>
      <w:r>
        <w:t xml:space="preserve"> </w:t>
      </w:r>
      <w:r>
        <w:tab/>
        <w:t>Voir notamment sur cette question le beau travail de CULIN, Games of the North American Indians (XXIVth Rep. of the Bureau of Amer. Ethnol.).</w:t>
      </w:r>
    </w:p>
  </w:footnote>
  <w:footnote w:id="223">
    <w:p w:rsidR="003F2F8E" w:rsidRDefault="003F2F8E">
      <w:pPr>
        <w:pStyle w:val="Testonotaapidipagina"/>
      </w:pPr>
      <w:r>
        <w:rPr>
          <w:rStyle w:val="Rimandonotaapidipagina"/>
        </w:rPr>
        <w:footnoteRef/>
      </w:r>
      <w:r>
        <w:t xml:space="preserve"> </w:t>
      </w:r>
      <w:r>
        <w:tab/>
        <w:t>V. plus haut, p. 115.</w:t>
      </w:r>
    </w:p>
  </w:footnote>
  <w:footnote w:id="224">
    <w:p w:rsidR="003F2F8E" w:rsidRDefault="003F2F8E">
      <w:pPr>
        <w:pStyle w:val="Testonotaapidipagina"/>
      </w:pPr>
      <w:r>
        <w:rPr>
          <w:rStyle w:val="Rimandonotaapidipagina"/>
        </w:rPr>
        <w:footnoteRef/>
      </w:r>
      <w:r>
        <w:t xml:space="preserve"> </w:t>
      </w:r>
      <w:r>
        <w:tab/>
        <w:t>Notamment en matière sexuelle. Dans les corrobbori ordinaires, les licences sexuelles sont fréquentes (v. SPENCER et GILLEN, Nat. Tr., pp. 96-97 et North. Tr., pp. 136-137). Sur les licences sexuelles dans les têtes populaires en général, v. HAGELSTANGE, Süddeutsches Bauernleben im Mittelalter, p. 221 et suiv.</w:t>
      </w:r>
    </w:p>
  </w:footnote>
  <w:footnote w:id="225">
    <w:p w:rsidR="003F2F8E" w:rsidRDefault="003F2F8E">
      <w:pPr>
        <w:pStyle w:val="Testonotaapidipagina"/>
      </w:pPr>
      <w:r>
        <w:rPr>
          <w:rStyle w:val="Rimandonotaapidipagina"/>
        </w:rPr>
        <w:footnoteRef/>
      </w:r>
      <w:r>
        <w:t xml:space="preserve"> </w:t>
      </w:r>
      <w:r>
        <w:tab/>
        <w:t>C'est ainsi que les règles de l'exogamie sont violées obligatoirement au cours de certaines cérémonies religieuses (v. plus haut, p. 309). Il ne faut probablement pas chercher à ces licences un sens rituel précis. C'est simplement une conséquence mécanique de l'état de surexcitation provoqué par la cérémonie. C'est un exemple de ces rites qui n'ont pas, par eux-mêmes, d'objet défini, qui sont de simples décharges d'activité (v. plus haut, p. 545). L'indigène lui-même ne lui assigne pas de fin déterminée : on dit seulement que, si ces licences ne sont pas commises, le rite ne produira pas ses effets; la cérémonie sera manquée.</w:t>
      </w:r>
    </w:p>
  </w:footnote>
  <w:footnote w:id="226">
    <w:p w:rsidR="003F2F8E" w:rsidRDefault="003F2F8E">
      <w:pPr>
        <w:pStyle w:val="Testonotaapidipagina"/>
      </w:pPr>
      <w:r>
        <w:rPr>
          <w:rStyle w:val="Rimandonotaapidipagina"/>
        </w:rPr>
        <w:footnoteRef/>
      </w:r>
      <w:r>
        <w:t xml:space="preserve"> </w:t>
      </w:r>
      <w:r>
        <w:tab/>
        <w:t>Voici les expressions mêmes dont se servent SPENCER et GILLEN : « Elles (les cérémonies qui se rapportent aux totems) sont souvent, mais non toujours, associées à celles qui concernent l'initiation des jeunes gens, ou bien elles font partie des Intichiuma » (North. Tr., p. 178).</w:t>
      </w:r>
    </w:p>
  </w:footnote>
  <w:footnote w:id="227">
    <w:p w:rsidR="003F2F8E" w:rsidRDefault="003F2F8E">
      <w:pPr>
        <w:pStyle w:val="Testonotaapidipagina"/>
      </w:pPr>
      <w:r>
        <w:rPr>
          <w:rStyle w:val="Rimandonotaapidipagina"/>
        </w:rPr>
        <w:footnoteRef/>
      </w:r>
      <w:r>
        <w:t xml:space="preserve"> </w:t>
      </w:r>
      <w:r>
        <w:tab/>
        <w:t>Nous laissons de côté la question de savoir en quoi ce caractère consiste. C'est un problème qui nous entraînerait dans des développements très longs et très techniques et qui, pour cette raison, demanderait à être traité à part. Il n'intéresse pas, d'ailleurs, les propositions qui sont établies au cours du présent ouvrage.</w:t>
      </w:r>
    </w:p>
  </w:footnote>
  <w:footnote w:id="228">
    <w:p w:rsidR="003F2F8E" w:rsidRDefault="003F2F8E">
      <w:pPr>
        <w:pStyle w:val="Testonotaapidipagina"/>
      </w:pPr>
      <w:r>
        <w:rPr>
          <w:rStyle w:val="Rimandonotaapidipagina"/>
        </w:rPr>
        <w:footnoteRef/>
      </w:r>
      <w:r>
        <w:t xml:space="preserve"> </w:t>
      </w:r>
      <w:r>
        <w:tab/>
        <w:t>C'est le chapitre VI intitulé Ceremonies connected with the totems.</w:t>
      </w:r>
    </w:p>
  </w:footnote>
  <w:footnote w:id="229">
    <w:p w:rsidR="003F2F8E" w:rsidRDefault="003F2F8E">
      <w:pPr>
        <w:pStyle w:val="Testonotaapidipagina"/>
      </w:pPr>
      <w:r>
        <w:rPr>
          <w:rStyle w:val="Rimandonotaapidipagina"/>
        </w:rPr>
        <w:footnoteRef/>
      </w:r>
      <w:r>
        <w:t xml:space="preserve"> </w:t>
      </w:r>
      <w:r>
        <w:tab/>
        <w:t>STREHLOW, III, pp. 1-2.</w:t>
      </w:r>
    </w:p>
  </w:footnote>
  <w:footnote w:id="230">
    <w:p w:rsidR="003F2F8E" w:rsidRDefault="003F2F8E">
      <w:pPr>
        <w:pStyle w:val="Testonotaapidipagina"/>
      </w:pPr>
      <w:r>
        <w:rPr>
          <w:rStyle w:val="Rimandonotaapidipagina"/>
        </w:rPr>
        <w:footnoteRef/>
      </w:r>
      <w:r>
        <w:t xml:space="preserve"> </w:t>
      </w:r>
      <w:r>
        <w:tab/>
        <w:t>Ainsi s'expliquerait l'erreur que Strehlow reproche à Spencer et</w:t>
      </w:r>
    </w:p>
  </w:footnote>
  <w:footnote w:id="231">
    <w:p w:rsidR="003F2F8E" w:rsidRDefault="003F2F8E">
      <w:pPr>
        <w:pStyle w:val="Testonotaapidipagina"/>
      </w:pPr>
      <w:r>
        <w:rPr>
          <w:rStyle w:val="Rimandonotaapidipagina"/>
        </w:rPr>
        <w:footnoteRef/>
      </w:r>
      <w:r>
        <w:t xml:space="preserve"> </w:t>
      </w:r>
      <w:r>
        <w:tab/>
        <w:t>Elle ne peut même pas avoir un autre caractère. En effet, comme l'initiation est une fête tribale, des novices de totems différents sont initiés au même moment. Les cérémonies qui se succèdent ainsi en un même endroit se rapportent donc toujours à plusieurs totems, et, par conséquent, il faut bien qu'elles aient lieu en dehors des localités auxquelles elles se rattachent d'après le mythe.</w:t>
      </w:r>
    </w:p>
  </w:footnote>
  <w:footnote w:id="232">
    <w:p w:rsidR="003F2F8E" w:rsidRDefault="003F2F8E">
      <w:pPr>
        <w:pStyle w:val="Testonotaapidipagina"/>
      </w:pPr>
      <w:r>
        <w:rPr>
          <w:rStyle w:val="Rimandonotaapidipagina"/>
        </w:rPr>
        <w:footnoteRef/>
      </w:r>
      <w:r>
        <w:t xml:space="preserve"> </w:t>
      </w:r>
      <w:r>
        <w:tab/>
        <w:t>On peut s'expliquer maintenant d'où vient que nous n'ayons, nulle part, étudié les rites d'initiation en eux-mêmes : c'est qu'ils ne constituent pas une entité rituelle, mais sont formés par un conglomérat de rites d'espèces différentes. Il y a notamment des interdits, des rites ascétiques, et des cérémonies représentatives qui sont indistinctes de celles qui se célèbrent lors de l'Intichiuma. Nous avons donc dû démembrer ce système composite et traiter séparément de chacun des rites élémentaires qui le composent, en les classant avec les rites similaires dont il est nécessaire de les rapprocher. D'autre part, nous avons vu (p. 409 et suiv.), que l'initiation a servi de point de départ à une religion nouvelle qui tend à dépasser le totémisme. Mais de cette religion il nous a suffi. de montrer que le totémisme contenait le germe ; nous n'avions pas à en suivre le développement. L'objet de ce livre est d'étudier les croyances et les pratiques élémentaires ; nous devons donc nous arrêter au moment où elles donnent naissance à des formes plus complexes.</w:t>
      </w:r>
    </w:p>
  </w:footnote>
  <w:footnote w:id="233">
    <w:p w:rsidR="003F2F8E" w:rsidRDefault="003F2F8E">
      <w:pPr>
        <w:pStyle w:val="Testonotaapidipagina"/>
      </w:pPr>
      <w:r>
        <w:rPr>
          <w:rStyle w:val="Rimandonotaapidipagina"/>
        </w:rPr>
        <w:footnoteRef/>
      </w:r>
      <w:r>
        <w:t xml:space="preserve"> </w:t>
      </w:r>
      <w:r>
        <w:tab/>
        <w:t>Nat. Tr., p. 463. Si l'individu peut, à son choix, célébrer une cérémonie soit du totem paternel soit du totem maternel, c'est que, pour les raisons exposées plus haut (p. 261), il participe de l'un et de l'autre.</w:t>
      </w:r>
    </w:p>
  </w:footnote>
  <w:footnote w:id="234">
    <w:p w:rsidR="003F2F8E" w:rsidRDefault="003F2F8E">
      <w:pPr>
        <w:pStyle w:val="Testonotaapidipagina"/>
      </w:pPr>
      <w:r>
        <w:rPr>
          <w:rStyle w:val="Rimandonotaapidipagina"/>
        </w:rPr>
        <w:footnoteRef/>
      </w:r>
      <w:r>
        <w:t xml:space="preserve"> </w:t>
      </w:r>
      <w:r>
        <w:tab/>
        <w:t>V. plus bas, chap. V, p. 565.</w:t>
      </w:r>
    </w:p>
  </w:footnote>
  <w:footnote w:id="235">
    <w:p w:rsidR="003F2F8E" w:rsidRDefault="003F2F8E">
      <w:pPr>
        <w:pStyle w:val="Testonotaapidipagina"/>
      </w:pPr>
      <w:r>
        <w:rPr>
          <w:rStyle w:val="Rimandonotaapidipagina"/>
        </w:rPr>
        <w:footnoteRef/>
      </w:r>
      <w:r>
        <w:t xml:space="preserve"> </w:t>
      </w:r>
      <w:r>
        <w:tab/>
        <w:t>V. Essai sur le sacrifice, in Mélanges d'histoire des religions, p, 83.</w:t>
      </w:r>
    </w:p>
  </w:footnote>
  <w:footnote w:id="236">
    <w:p w:rsidR="003F2F8E" w:rsidRDefault="003F2F8E">
      <w:pPr>
        <w:pStyle w:val="Testonotaapidipagina"/>
      </w:pPr>
      <w:r>
        <w:rPr>
          <w:rStyle w:val="Rimandonotaapidipagina"/>
        </w:rPr>
        <w:footnoteRef/>
      </w:r>
      <w:r>
        <w:t xml:space="preserve"> </w:t>
      </w:r>
      <w:r>
        <w:tab/>
        <w:t>Piacularia auspicia appellabant quae sacrificantibus tristia portendebant (Paul ex Fest., p. 244, éd. Muller). Le mot de piaculum est même employé comme synonyme de malheur. « Vetonica herba, dit Pline, tantum gloriae habet ut domus in qua sala sit tula existimetur a piaculis omnibus » (XXV, 8, 46).</w:t>
      </w:r>
    </w:p>
  </w:footnote>
  <w:footnote w:id="237">
    <w:p w:rsidR="003F2F8E" w:rsidRDefault="003F2F8E">
      <w:pPr>
        <w:pStyle w:val="Testonotaapidipagina"/>
      </w:pPr>
      <w:r>
        <w:rPr>
          <w:rStyle w:val="Rimandonotaapidipagina"/>
        </w:rPr>
        <w:footnoteRef/>
      </w:r>
      <w:r>
        <w:t xml:space="preserve"> </w:t>
      </w:r>
      <w:r>
        <w:tab/>
        <w:t>North. Tr., p. 526; EYLMANN, p. 239. Cf. plus haut, p. 436.</w:t>
      </w:r>
    </w:p>
  </w:footnote>
  <w:footnote w:id="238">
    <w:p w:rsidR="003F2F8E" w:rsidRDefault="003F2F8E">
      <w:pPr>
        <w:pStyle w:val="Testonotaapidipagina"/>
      </w:pPr>
      <w:r>
        <w:rPr>
          <w:rStyle w:val="Rimandonotaapidipagina"/>
        </w:rPr>
        <w:footnoteRef/>
      </w:r>
      <w:r>
        <w:t xml:space="preserve"> </w:t>
      </w:r>
      <w:r>
        <w:tab/>
        <w:t>BROUGH SMYTH, I, p. 106; DAWSON, p. 64; EYLMANN, p. 239.</w:t>
      </w:r>
    </w:p>
  </w:footnote>
  <w:footnote w:id="239">
    <w:p w:rsidR="003F2F8E" w:rsidRDefault="003F2F8E">
      <w:pPr>
        <w:pStyle w:val="Testonotaapidipagina"/>
      </w:pPr>
      <w:r>
        <w:rPr>
          <w:rStyle w:val="Rimandonotaapidipagina"/>
        </w:rPr>
        <w:footnoteRef/>
      </w:r>
      <w:r>
        <w:t xml:space="preserve"> </w:t>
      </w:r>
      <w:r>
        <w:tab/>
        <w:t>DAWSON, p. 66; EYLMANN, p. 241.</w:t>
      </w:r>
    </w:p>
  </w:footnote>
  <w:footnote w:id="240">
    <w:p w:rsidR="003F2F8E" w:rsidRDefault="003F2F8E">
      <w:pPr>
        <w:pStyle w:val="Testonotaapidipagina"/>
      </w:pPr>
      <w:r>
        <w:rPr>
          <w:rStyle w:val="Rimandonotaapidipagina"/>
        </w:rPr>
        <w:footnoteRef/>
      </w:r>
      <w:r>
        <w:t xml:space="preserve"> </w:t>
      </w:r>
      <w:r>
        <w:tab/>
        <w:t>Nat. Tr., p. 502; DAWSON, p. 67.</w:t>
      </w:r>
    </w:p>
  </w:footnote>
  <w:footnote w:id="241">
    <w:p w:rsidR="003F2F8E" w:rsidRDefault="003F2F8E">
      <w:pPr>
        <w:pStyle w:val="Testonotaapidipagina"/>
      </w:pPr>
      <w:r>
        <w:rPr>
          <w:rStyle w:val="Rimandonotaapidipagina"/>
        </w:rPr>
        <w:footnoteRef/>
      </w:r>
      <w:r>
        <w:t xml:space="preserve"> </w:t>
      </w:r>
      <w:r>
        <w:tab/>
        <w:t>North. Tt.,pp. 516-517.</w:t>
      </w:r>
    </w:p>
  </w:footnote>
  <w:footnote w:id="242">
    <w:p w:rsidR="003F2F8E" w:rsidRDefault="003F2F8E">
      <w:pPr>
        <w:pStyle w:val="Testonotaapidipagina"/>
      </w:pPr>
      <w:r>
        <w:rPr>
          <w:rStyle w:val="Rimandonotaapidipagina"/>
        </w:rPr>
        <w:footnoteRef/>
      </w:r>
      <w:r>
        <w:t xml:space="preserve"> </w:t>
      </w:r>
      <w:r>
        <w:tab/>
        <w:t>Ibid., pp. 520-521. Les auteurs ne nous disent pas s'il s'agit de parents tribaux ou de parents de sang. La première hypothèse est la plus vraisemblable.</w:t>
      </w:r>
    </w:p>
  </w:footnote>
  <w:footnote w:id="243">
    <w:p w:rsidR="003F2F8E" w:rsidRDefault="003F2F8E">
      <w:pPr>
        <w:pStyle w:val="Testonotaapidipagina"/>
      </w:pPr>
      <w:r>
        <w:rPr>
          <w:rStyle w:val="Rimandonotaapidipagina"/>
        </w:rPr>
        <w:footnoteRef/>
      </w:r>
      <w:r>
        <w:t xml:space="preserve"> </w:t>
      </w:r>
      <w:r>
        <w:tab/>
        <w:t>North. Tr., pp. 525-526. Cette interdiction de parler, spéciale aux femmes, bien qu'elle consiste en une simple abstention, a tout l'air d'un rite piaculaire : c'est une manière de se gêner. C'est pourquoi nous le mentionnons ici. Le jeûne également peut, selon les circonstances, constituer un rite piaculaire ou un rite ascétique. Tout dépend des conditions dans lesquelles il a lieu et du but poursuivi (v. sur la différence entre ces deux sortes de rites, plus bas, p. 567).</w:t>
      </w:r>
    </w:p>
  </w:footnote>
  <w:footnote w:id="244">
    <w:p w:rsidR="003F2F8E" w:rsidRDefault="003F2F8E">
      <w:pPr>
        <w:pStyle w:val="Testonotaapidipagina"/>
      </w:pPr>
      <w:r>
        <w:rPr>
          <w:rStyle w:val="Rimandonotaapidipagina"/>
        </w:rPr>
        <w:footnoteRef/>
      </w:r>
      <w:r>
        <w:t xml:space="preserve"> </w:t>
      </w:r>
      <w:r>
        <w:tab/>
        <w:t>On trouvera dans North. Tr., p. 525, une gravure très expressive où ce rite est représenté.</w:t>
      </w:r>
    </w:p>
  </w:footnote>
  <w:footnote w:id="245">
    <w:p w:rsidR="003F2F8E" w:rsidRDefault="003F2F8E">
      <w:pPr>
        <w:pStyle w:val="Testonotaapidipagina"/>
      </w:pPr>
      <w:r>
        <w:rPr>
          <w:rStyle w:val="Rimandonotaapidipagina"/>
        </w:rPr>
        <w:footnoteRef/>
      </w:r>
      <w:r>
        <w:t xml:space="preserve"> </w:t>
      </w:r>
      <w:r>
        <w:tab/>
        <w:t>Ibid., p. 522.</w:t>
      </w:r>
    </w:p>
  </w:footnote>
  <w:footnote w:id="246">
    <w:p w:rsidR="003F2F8E" w:rsidRDefault="003F2F8E">
      <w:pPr>
        <w:pStyle w:val="Testonotaapidipagina"/>
      </w:pPr>
      <w:r>
        <w:rPr>
          <w:rStyle w:val="Rimandonotaapidipagina"/>
        </w:rPr>
        <w:footnoteRef/>
      </w:r>
      <w:r>
        <w:t xml:space="preserve"> </w:t>
      </w:r>
      <w:r>
        <w:tab/>
        <w:t>V. sur les principales sortes de rites funéraires HOWITT, Nat. Tr., p. 446-508, pour les tribus du Sud-Est; SPENCER et GILLEN, North. Tr., p. 505 et Nat. Tr., p. 497 et suiv., pour les tribus du centre ; ROTH, North Queensland Ethnog., Bull. no 9, in Records of the Australian Museum, VI, ne 5, p. 365 et suiv. (Burial Ceremonies and Disposal of the Dead).</w:t>
      </w:r>
    </w:p>
  </w:footnote>
  <w:footnote w:id="247">
    <w:p w:rsidR="003F2F8E" w:rsidRDefault="003F2F8E">
      <w:pPr>
        <w:pStyle w:val="Testonotaapidipagina"/>
      </w:pPr>
      <w:r>
        <w:rPr>
          <w:rStyle w:val="Rimandonotaapidipagina"/>
        </w:rPr>
        <w:footnoteRef/>
      </w:r>
      <w:r>
        <w:t xml:space="preserve"> </w:t>
      </w:r>
      <w:r>
        <w:tab/>
        <w:t>V. notamment ROTH, loc. cit., p. 368; EYRE, Journals of Exped. into Central Australia, 11, pp. 344-345, 347.</w:t>
      </w:r>
    </w:p>
  </w:footnote>
  <w:footnote w:id="248">
    <w:p w:rsidR="003F2F8E" w:rsidRDefault="003F2F8E">
      <w:pPr>
        <w:pStyle w:val="Testonotaapidipagina"/>
      </w:pPr>
      <w:r>
        <w:rPr>
          <w:rStyle w:val="Rimandonotaapidipagina"/>
        </w:rPr>
        <w:footnoteRef/>
      </w:r>
      <w:r>
        <w:t xml:space="preserve"> </w:t>
      </w:r>
      <w:r>
        <w:tab/>
        <w:t>SPENCER et GILLEN, Nat. Tr., p. 500; North. Tr., pp. 507, 508; EYLMANN, p. 241; Langloh PARKER, The Euahlayi, p. 83 et suiv. ; BROUGH SMYTH, I, p. 118.</w:t>
      </w:r>
    </w:p>
  </w:footnote>
  <w:footnote w:id="249">
    <w:p w:rsidR="003F2F8E" w:rsidRDefault="003F2F8E">
      <w:pPr>
        <w:pStyle w:val="Testonotaapidipagina"/>
      </w:pPr>
      <w:r>
        <w:rPr>
          <w:rStyle w:val="Rimandonotaapidipagina"/>
        </w:rPr>
        <w:footnoteRef/>
      </w:r>
      <w:r>
        <w:t xml:space="preserve"> </w:t>
      </w:r>
      <w:r>
        <w:tab/>
        <w:t>Dawson, p. 66; HOWITT, Nat. Tr., p. 466; EYLMANN, pp. 239-240.</w:t>
      </w:r>
    </w:p>
  </w:footnote>
  <w:footnote w:id="250">
    <w:p w:rsidR="003F2F8E" w:rsidRDefault="003F2F8E">
      <w:pPr>
        <w:pStyle w:val="Testonotaapidipagina"/>
      </w:pPr>
      <w:r>
        <w:rPr>
          <w:rStyle w:val="Rimandonotaapidipagina"/>
        </w:rPr>
        <w:footnoteRef/>
      </w:r>
      <w:r>
        <w:t xml:space="preserve"> </w:t>
      </w:r>
      <w:r>
        <w:tab/>
        <w:t>BROUGH SMYTH, I, p. 113.</w:t>
      </w:r>
    </w:p>
  </w:footnote>
  <w:footnote w:id="251">
    <w:p w:rsidR="003F2F8E" w:rsidRDefault="003F2F8E">
      <w:pPr>
        <w:pStyle w:val="Testonotaapidipagina"/>
      </w:pPr>
      <w:r>
        <w:rPr>
          <w:rStyle w:val="Rimandonotaapidipagina"/>
        </w:rPr>
        <w:footnoteRef/>
      </w:r>
      <w:r>
        <w:t xml:space="preserve"> </w:t>
      </w:r>
      <w:r>
        <w:tab/>
        <w:t>W. E. STANBRIDGE, Trans. Ethnological Society of London, n. s., tome I, p. 286.</w:t>
      </w:r>
    </w:p>
  </w:footnote>
  <w:footnote w:id="252">
    <w:p w:rsidR="003F2F8E" w:rsidRDefault="003F2F8E">
      <w:pPr>
        <w:pStyle w:val="Testonotaapidipagina"/>
      </w:pPr>
      <w:r>
        <w:rPr>
          <w:rStyle w:val="Rimandonotaapidipagina"/>
        </w:rPr>
        <w:footnoteRef/>
      </w:r>
      <w:r>
        <w:t xml:space="preserve"> </w:t>
      </w:r>
      <w:r>
        <w:tab/>
        <w:t>BROUGH SMYTH, I, p. 104.</w:t>
      </w:r>
    </w:p>
  </w:footnote>
  <w:footnote w:id="253">
    <w:p w:rsidR="003F2F8E" w:rsidRDefault="003F2F8E">
      <w:pPr>
        <w:pStyle w:val="Testonotaapidipagina"/>
      </w:pPr>
      <w:r>
        <w:rPr>
          <w:rStyle w:val="Rimandonotaapidipagina"/>
        </w:rPr>
        <w:footnoteRef/>
      </w:r>
      <w:r>
        <w:t xml:space="preserve"> </w:t>
      </w:r>
      <w:r>
        <w:tab/>
        <w:t>HOWITT, Nat. Tr., p. 459. On trouvera des scènes analogues dans EYRE, op. cit., II, p. 255 n. et p. 347 ; ROTH, loc. cit., pp. 394, 395, notamment ; GREY, II, p. 320 et suiv.</w:t>
      </w:r>
    </w:p>
  </w:footnote>
  <w:footnote w:id="254">
    <w:p w:rsidR="003F2F8E" w:rsidRDefault="003F2F8E">
      <w:pPr>
        <w:pStyle w:val="Testonotaapidipagina"/>
      </w:pPr>
      <w:r>
        <w:rPr>
          <w:rStyle w:val="Rimandonotaapidipagina"/>
        </w:rPr>
        <w:footnoteRef/>
      </w:r>
      <w:r>
        <w:t xml:space="preserve"> </w:t>
      </w:r>
      <w:r>
        <w:tab/>
        <w:t>BROUGH SMYTH, I, pp. 104, 112; Roth, loc. cit., p. 382.</w:t>
      </w:r>
    </w:p>
  </w:footnote>
  <w:footnote w:id="255">
    <w:p w:rsidR="003F2F8E" w:rsidRDefault="003F2F8E">
      <w:pPr>
        <w:pStyle w:val="Testonotaapidipagina"/>
      </w:pPr>
      <w:r>
        <w:rPr>
          <w:rStyle w:val="Rimandonotaapidipagina"/>
        </w:rPr>
        <w:footnoteRef/>
      </w:r>
      <w:r>
        <w:t xml:space="preserve"> </w:t>
      </w:r>
      <w:r>
        <w:tab/>
        <w:t>North. Tr., pp. 511-512.</w:t>
      </w:r>
    </w:p>
  </w:footnote>
  <w:footnote w:id="256">
    <w:p w:rsidR="003F2F8E" w:rsidRDefault="003F2F8E">
      <w:pPr>
        <w:pStyle w:val="Testonotaapidipagina"/>
      </w:pPr>
      <w:r>
        <w:rPr>
          <w:rStyle w:val="Rimandonotaapidipagina"/>
        </w:rPr>
        <w:footnoteRef/>
      </w:r>
      <w:r>
        <w:t xml:space="preserve"> </w:t>
      </w:r>
      <w:r>
        <w:tab/>
        <w:t>DAWSON, p. 67 ; ROTH, loc. cit., pp. 366-367.</w:t>
      </w:r>
    </w:p>
  </w:footnote>
  <w:footnote w:id="257">
    <w:p w:rsidR="003F2F8E" w:rsidRDefault="003F2F8E">
      <w:pPr>
        <w:pStyle w:val="Testonotaapidipagina"/>
      </w:pPr>
      <w:r>
        <w:rPr>
          <w:rStyle w:val="Rimandonotaapidipagina"/>
        </w:rPr>
        <w:footnoteRef/>
      </w:r>
      <w:r>
        <w:t xml:space="preserve"> </w:t>
      </w:r>
      <w:r>
        <w:tab/>
        <w:t>Nat. Tr., pp. 508-510.</w:t>
      </w:r>
    </w:p>
  </w:footnote>
  <w:footnote w:id="258">
    <w:p w:rsidR="003F2F8E" w:rsidRDefault="003F2F8E">
      <w:pPr>
        <w:pStyle w:val="Testonotaapidipagina"/>
      </w:pPr>
      <w:r>
        <w:rPr>
          <w:rStyle w:val="Rimandonotaapidipagina"/>
        </w:rPr>
        <w:footnoteRef/>
      </w:r>
      <w:r>
        <w:t xml:space="preserve"> </w:t>
      </w:r>
      <w:r>
        <w:tab/>
        <w:t>Petit vaisseau en bois dont il a déjà été question plus haut, p. 477.</w:t>
      </w:r>
    </w:p>
  </w:footnote>
  <w:footnote w:id="259">
    <w:p w:rsidR="003F2F8E" w:rsidRDefault="003F2F8E">
      <w:pPr>
        <w:pStyle w:val="Testonotaapidipagina"/>
      </w:pPr>
      <w:r>
        <w:rPr>
          <w:rStyle w:val="Rimandonotaapidipagina"/>
        </w:rPr>
        <w:footnoteRef/>
      </w:r>
      <w:r>
        <w:t xml:space="preserve"> </w:t>
      </w:r>
      <w:r>
        <w:tab/>
        <w:t>Nat. Tr., pp. 508-510. L'autre rite final auquel assistèrent Spencer et GILLEN est décrit aux pp. 503-508 du même ouvrage. Il ne diffère pas essentiellement de celui que nous venons d'analyser.</w:t>
      </w:r>
    </w:p>
  </w:footnote>
  <w:footnote w:id="260">
    <w:p w:rsidR="003F2F8E" w:rsidRDefault="003F2F8E">
      <w:pPr>
        <w:pStyle w:val="Testonotaapidipagina"/>
      </w:pPr>
      <w:r>
        <w:rPr>
          <w:rStyle w:val="Rimandonotaapidipagina"/>
        </w:rPr>
        <w:footnoteRef/>
      </w:r>
      <w:r>
        <w:t xml:space="preserve"> </w:t>
      </w:r>
      <w:r>
        <w:tab/>
        <w:t>North. Tr., pp. 531-540.</w:t>
      </w:r>
    </w:p>
  </w:footnote>
  <w:footnote w:id="261">
    <w:p w:rsidR="003F2F8E" w:rsidRDefault="003F2F8E">
      <w:pPr>
        <w:pStyle w:val="Testonotaapidipagina"/>
      </w:pPr>
      <w:r>
        <w:rPr>
          <w:rStyle w:val="Rimandonotaapidipagina"/>
        </w:rPr>
        <w:footnoteRef/>
      </w:r>
      <w:r>
        <w:t xml:space="preserve"> </w:t>
      </w:r>
      <w:r>
        <w:tab/>
        <w:t xml:space="preserve">Contrairement à ce que dit </w:t>
      </w:r>
      <w:r>
        <w:rPr>
          <w:i/>
          <w:iCs/>
        </w:rPr>
        <w:t xml:space="preserve">JEVONS, Introd. to the History of Relig., </w:t>
      </w:r>
      <w:r>
        <w:t>p. 46 et suiv.</w:t>
      </w:r>
    </w:p>
  </w:footnote>
  <w:footnote w:id="262">
    <w:p w:rsidR="003F2F8E" w:rsidRDefault="003F2F8E">
      <w:pPr>
        <w:pStyle w:val="Testonotaapidipagina"/>
      </w:pPr>
      <w:r>
        <w:rPr>
          <w:rStyle w:val="Rimandonotaapidipagina"/>
        </w:rPr>
        <w:footnoteRef/>
      </w:r>
      <w:r>
        <w:t xml:space="preserve"> </w:t>
      </w:r>
      <w:r>
        <w:tab/>
        <w:t>C'est ce qui fait dire à DAWSON que le deuil est sincèrement porté (p. 66). Mais EYLMANN assure n'avoir connu qu'un seul cas où il y ait en blessure par chagrin réellement ressenti (op. cit., p. 113).</w:t>
      </w:r>
    </w:p>
  </w:footnote>
  <w:footnote w:id="263">
    <w:p w:rsidR="003F2F8E" w:rsidRDefault="003F2F8E">
      <w:pPr>
        <w:pStyle w:val="Testonotaapidipagina"/>
      </w:pPr>
      <w:r>
        <w:rPr>
          <w:rStyle w:val="Rimandonotaapidipagina"/>
        </w:rPr>
        <w:footnoteRef/>
      </w:r>
      <w:r>
        <w:t xml:space="preserve"> </w:t>
      </w:r>
      <w:r>
        <w:tab/>
        <w:t>Nat. Tr., p. 510.</w:t>
      </w:r>
    </w:p>
  </w:footnote>
  <w:footnote w:id="264">
    <w:p w:rsidR="003F2F8E" w:rsidRDefault="003F2F8E">
      <w:pPr>
        <w:pStyle w:val="Testonotaapidipagina"/>
      </w:pPr>
      <w:r>
        <w:rPr>
          <w:rStyle w:val="Rimandonotaapidipagina"/>
        </w:rPr>
        <w:footnoteRef/>
      </w:r>
      <w:r>
        <w:t xml:space="preserve"> </w:t>
      </w:r>
      <w:r>
        <w:tab/>
        <w:t>EYLMANN, pp. 238-239.</w:t>
      </w:r>
    </w:p>
  </w:footnote>
  <w:footnote w:id="265">
    <w:p w:rsidR="003F2F8E" w:rsidRDefault="003F2F8E">
      <w:pPr>
        <w:pStyle w:val="Testonotaapidipagina"/>
      </w:pPr>
      <w:r>
        <w:rPr>
          <w:rStyle w:val="Rimandonotaapidipagina"/>
        </w:rPr>
        <w:footnoteRef/>
      </w:r>
      <w:r>
        <w:t xml:space="preserve"> </w:t>
      </w:r>
      <w:r>
        <w:tab/>
        <w:t>North. Tr., p. 507; Nat. Tr., p. 498.</w:t>
      </w:r>
    </w:p>
  </w:footnote>
  <w:footnote w:id="266">
    <w:p w:rsidR="003F2F8E" w:rsidRDefault="003F2F8E">
      <w:pPr>
        <w:pStyle w:val="Testonotaapidipagina"/>
      </w:pPr>
      <w:r>
        <w:rPr>
          <w:rStyle w:val="Rimandonotaapidipagina"/>
        </w:rPr>
        <w:footnoteRef/>
      </w:r>
      <w:r>
        <w:t xml:space="preserve"> </w:t>
      </w:r>
      <w:r>
        <w:tab/>
        <w:t>Nat. Tr., p. 500; Eylmann, p. 227.</w:t>
      </w:r>
    </w:p>
  </w:footnote>
  <w:footnote w:id="267">
    <w:p w:rsidR="003F2F8E" w:rsidRDefault="003F2F8E">
      <w:pPr>
        <w:pStyle w:val="Testonotaapidipagina"/>
      </w:pPr>
      <w:r>
        <w:rPr>
          <w:rStyle w:val="Rimandonotaapidipagina"/>
        </w:rPr>
        <w:footnoteRef/>
      </w:r>
      <w:r>
        <w:t xml:space="preserve"> </w:t>
      </w:r>
      <w:r>
        <w:tab/>
        <w:t>BROUGH SMYTH, I, p. 114.</w:t>
      </w:r>
    </w:p>
  </w:footnote>
  <w:footnote w:id="268">
    <w:p w:rsidR="003F2F8E" w:rsidRDefault="003F2F8E">
      <w:pPr>
        <w:pStyle w:val="Testonotaapidipagina"/>
      </w:pPr>
      <w:r>
        <w:rPr>
          <w:rStyle w:val="Rimandonotaapidipagina"/>
        </w:rPr>
        <w:footnoteRef/>
      </w:r>
      <w:r>
        <w:t xml:space="preserve"> </w:t>
      </w:r>
      <w:r>
        <w:tab/>
        <w:t>Nat. Tr., p. 510.</w:t>
      </w:r>
    </w:p>
  </w:footnote>
  <w:footnote w:id="269">
    <w:p w:rsidR="003F2F8E" w:rsidRDefault="003F2F8E">
      <w:pPr>
        <w:pStyle w:val="Testonotaapidipagina"/>
      </w:pPr>
      <w:r>
        <w:rPr>
          <w:rStyle w:val="Rimandonotaapidipagina"/>
        </w:rPr>
        <w:footnoteRef/>
      </w:r>
      <w:r>
        <w:t xml:space="preserve"> </w:t>
      </w:r>
      <w:r>
        <w:tab/>
        <w:t>On trouve plusieurs exemples de cette croyance dans HOWITT, Nat, p. 435. Cf. Strehlow, I, pp. l5-16 et II, p. 7.</w:t>
      </w:r>
    </w:p>
  </w:footnote>
  <w:footnote w:id="270">
    <w:p w:rsidR="003F2F8E" w:rsidRDefault="003F2F8E">
      <w:pPr>
        <w:pStyle w:val="Testonotaapidipagina"/>
      </w:pPr>
      <w:r>
        <w:rPr>
          <w:rStyle w:val="Rimandonotaapidipagina"/>
        </w:rPr>
        <w:footnoteRef/>
      </w:r>
      <w:r>
        <w:t xml:space="preserve"> </w:t>
      </w:r>
      <w:r>
        <w:tab/>
        <w:t>On se demandera peut-être pourquoi des cérémonies répétées sont nécessaires pour produire l'apaisement qui suit le deuil. Mais c'est, d'abord, que les funérailles sont souvent très longues; elles comprennent des opérations multiples qui s'échelonnent sur de longs mois. Elles prolongent et entretiennent ainsi le trouble moral déterminé par la mort (cf, Hertz, La représentation collective de la mort, in Année sociol., X, p. 48 et suiv.). D'une manière générale, la mort est un changement d'état grave qui a, dans le groupe, des répercussions étendues et durables. Il faut du temps pour en neutraliser les effets.</w:t>
      </w:r>
    </w:p>
  </w:footnote>
  <w:footnote w:id="271">
    <w:p w:rsidR="003F2F8E" w:rsidRDefault="003F2F8E">
      <w:pPr>
        <w:pStyle w:val="Testonotaapidipagina"/>
      </w:pPr>
      <w:r>
        <w:rPr>
          <w:rStyle w:val="Rimandonotaapidipagina"/>
        </w:rPr>
        <w:footnoteRef/>
      </w:r>
      <w:r>
        <w:t xml:space="preserve"> </w:t>
      </w:r>
      <w:r>
        <w:tab/>
        <w:t>Dans un cas que rapporte Grey d'après une observation de Bussel, le rite a tout l'aspect du sacrifice: le sang est répandu sur le corps même du mort (GREY, 11, P. 330). Dans d'autres cas, il y a comme une offrande de la barbe : les gens en deuil coupent une partie de leur barbe qu'ils jettent sur le cadavre (ibid., p. 335).</w:t>
      </w:r>
    </w:p>
  </w:footnote>
  <w:footnote w:id="272">
    <w:p w:rsidR="003F2F8E" w:rsidRDefault="003F2F8E">
      <w:pPr>
        <w:pStyle w:val="Testonotaapidipagina"/>
      </w:pPr>
      <w:r>
        <w:rPr>
          <w:rStyle w:val="Rimandonotaapidipagina"/>
        </w:rPr>
        <w:footnoteRef/>
      </w:r>
      <w:r>
        <w:t xml:space="preserve"> </w:t>
      </w:r>
      <w:r>
        <w:tab/>
        <w:t>Nat. Tr., pp. 135-136.</w:t>
      </w:r>
    </w:p>
  </w:footnote>
  <w:footnote w:id="273">
    <w:p w:rsidR="003F2F8E" w:rsidRDefault="003F2F8E">
      <w:pPr>
        <w:pStyle w:val="Testonotaapidipagina"/>
      </w:pPr>
      <w:r>
        <w:rPr>
          <w:rStyle w:val="Rimandonotaapidipagina"/>
        </w:rPr>
        <w:footnoteRef/>
      </w:r>
      <w:r>
        <w:t xml:space="preserve"> </w:t>
      </w:r>
      <w:r>
        <w:tab/>
        <w:t>Sans doute, chaque churinga passe pour être en rapports avec un ancêtre. Mais ce n'est pas pour apaiser les esprits des ancêtres qu'on porte le deuil des churinga perdus. Nous avons montré d'ailleurs (p. 173) que l'idée d'ancêtre n'est intervenue que secondairement et après coup dans la notion du churinga..</w:t>
      </w:r>
    </w:p>
  </w:footnote>
  <w:footnote w:id="274">
    <w:p w:rsidR="003F2F8E" w:rsidRDefault="003F2F8E">
      <w:pPr>
        <w:pStyle w:val="Testonotaapidipagina"/>
      </w:pPr>
      <w:r>
        <w:rPr>
          <w:rStyle w:val="Rimandonotaapidipagina"/>
        </w:rPr>
        <w:footnoteRef/>
      </w:r>
      <w:r>
        <w:t xml:space="preserve"> </w:t>
      </w:r>
      <w:r>
        <w:tab/>
        <w:t>Op. cit., p. 207 ; cf. p. 116.</w:t>
      </w:r>
    </w:p>
  </w:footnote>
  <w:footnote w:id="275">
    <w:p w:rsidR="003F2F8E" w:rsidRDefault="003F2F8E">
      <w:pPr>
        <w:pStyle w:val="Testonotaapidipagina"/>
      </w:pPr>
      <w:r>
        <w:rPr>
          <w:rStyle w:val="Rimandonotaapidipagina"/>
        </w:rPr>
        <w:footnoteRef/>
      </w:r>
      <w:r>
        <w:t xml:space="preserve"> </w:t>
      </w:r>
      <w:r>
        <w:tab/>
        <w:t>EYLMANN, p. 208.</w:t>
      </w:r>
    </w:p>
  </w:footnote>
  <w:footnote w:id="276">
    <w:p w:rsidR="003F2F8E" w:rsidRDefault="003F2F8E">
      <w:pPr>
        <w:pStyle w:val="Testonotaapidipagina"/>
      </w:pPr>
      <w:r>
        <w:rPr>
          <w:rStyle w:val="Rimandonotaapidipagina"/>
        </w:rPr>
        <w:footnoteRef/>
      </w:r>
      <w:r>
        <w:t xml:space="preserve"> </w:t>
      </w:r>
      <w:r>
        <w:tab/>
        <w:t>Ibid., p. 211.</w:t>
      </w:r>
    </w:p>
  </w:footnote>
  <w:footnote w:id="277">
    <w:p w:rsidR="003F2F8E" w:rsidRDefault="003F2F8E">
      <w:pPr>
        <w:pStyle w:val="Testonotaapidipagina"/>
      </w:pPr>
      <w:r>
        <w:rPr>
          <w:rStyle w:val="Rimandonotaapidipagina"/>
        </w:rPr>
        <w:footnoteRef/>
      </w:r>
      <w:r>
        <w:t xml:space="preserve"> </w:t>
      </w:r>
      <w:r>
        <w:tab/>
        <w:t>HOWITT, The Dieri, in J.A.I., XX (1891), p. 93.</w:t>
      </w:r>
    </w:p>
  </w:footnote>
  <w:footnote w:id="278">
    <w:p w:rsidR="003F2F8E" w:rsidRDefault="003F2F8E">
      <w:pPr>
        <w:pStyle w:val="Testonotaapidipagina"/>
      </w:pPr>
      <w:r>
        <w:rPr>
          <w:rStyle w:val="Rimandonotaapidipagina"/>
        </w:rPr>
        <w:footnoteRef/>
      </w:r>
      <w:r>
        <w:t xml:space="preserve"> </w:t>
      </w:r>
      <w:r>
        <w:tab/>
        <w:t>HOWITT, Nat. Tr., p. 394.</w:t>
      </w:r>
    </w:p>
  </w:footnote>
  <w:footnote w:id="279">
    <w:p w:rsidR="003F2F8E" w:rsidRDefault="003F2F8E">
      <w:pPr>
        <w:pStyle w:val="Testonotaapidipagina"/>
      </w:pPr>
      <w:r>
        <w:rPr>
          <w:rStyle w:val="Rimandonotaapidipagina"/>
        </w:rPr>
        <w:footnoteRef/>
      </w:r>
      <w:r>
        <w:t xml:space="preserve"> </w:t>
      </w:r>
      <w:r>
        <w:tab/>
        <w:t>HOWITT, ibid., p. 396.</w:t>
      </w:r>
    </w:p>
  </w:footnote>
  <w:footnote w:id="280">
    <w:p w:rsidR="003F2F8E" w:rsidRDefault="003F2F8E">
      <w:pPr>
        <w:pStyle w:val="Testonotaapidipagina"/>
      </w:pPr>
      <w:r>
        <w:rPr>
          <w:rStyle w:val="Rimandonotaapidipagina"/>
        </w:rPr>
        <w:footnoteRef/>
      </w:r>
      <w:r>
        <w:t xml:space="preserve"> </w:t>
      </w:r>
      <w:r>
        <w:tab/>
        <w:t>Communication de Gason, in J.A.I., XXIV (1895), p. 175.</w:t>
      </w:r>
    </w:p>
  </w:footnote>
  <w:footnote w:id="281">
    <w:p w:rsidR="003F2F8E" w:rsidRDefault="003F2F8E">
      <w:pPr>
        <w:pStyle w:val="Testonotaapidipagina"/>
      </w:pPr>
      <w:r>
        <w:rPr>
          <w:rStyle w:val="Rimandonotaapidipagina"/>
        </w:rPr>
        <w:footnoteRef/>
      </w:r>
      <w:r>
        <w:t xml:space="preserve"> </w:t>
      </w:r>
      <w:r>
        <w:tab/>
        <w:t>North Tr., p. 286.</w:t>
      </w:r>
    </w:p>
  </w:footnote>
  <w:footnote w:id="282">
    <w:p w:rsidR="003F2F8E" w:rsidRDefault="003F2F8E">
      <w:pPr>
        <w:pStyle w:val="Testonotaapidipagina"/>
      </w:pPr>
      <w:r>
        <w:rPr>
          <w:rStyle w:val="Rimandonotaapidipagina"/>
        </w:rPr>
        <w:footnoteRef/>
      </w:r>
      <w:r>
        <w:t xml:space="preserve"> </w:t>
      </w:r>
      <w:r>
        <w:tab/>
        <w:t>GASON, The Dieyerie Tribe, in Curr, II, p. 68.</w:t>
      </w:r>
    </w:p>
  </w:footnote>
  <w:footnote w:id="283">
    <w:p w:rsidR="003F2F8E" w:rsidRDefault="003F2F8E">
      <w:pPr>
        <w:pStyle w:val="Testonotaapidipagina"/>
      </w:pPr>
      <w:r>
        <w:rPr>
          <w:rStyle w:val="Rimandonotaapidipagina"/>
        </w:rPr>
        <w:footnoteRef/>
      </w:r>
      <w:r>
        <w:t xml:space="preserve"> </w:t>
      </w:r>
      <w:r>
        <w:tab/>
        <w:t>GASON, ibid. ; EYLMANN, p. 208.</w:t>
      </w:r>
    </w:p>
  </w:footnote>
  <w:footnote w:id="284">
    <w:p w:rsidR="003F2F8E" w:rsidRDefault="003F2F8E">
      <w:pPr>
        <w:pStyle w:val="Testonotaapidipagina"/>
      </w:pPr>
      <w:r>
        <w:rPr>
          <w:rStyle w:val="Rimandonotaapidipagina"/>
        </w:rPr>
        <w:footnoteRef/>
      </w:r>
      <w:r>
        <w:t xml:space="preserve"> </w:t>
      </w:r>
      <w:r>
        <w:tab/>
        <w:t>HOWITT, Nat. Tr., pp. 277 et 430.</w:t>
      </w:r>
    </w:p>
  </w:footnote>
  <w:footnote w:id="285">
    <w:p w:rsidR="003F2F8E" w:rsidRDefault="003F2F8E">
      <w:pPr>
        <w:pStyle w:val="Testonotaapidipagina"/>
      </w:pPr>
      <w:r>
        <w:rPr>
          <w:rStyle w:val="Rimandonotaapidipagina"/>
        </w:rPr>
        <w:footnoteRef/>
      </w:r>
      <w:r>
        <w:t xml:space="preserve"> </w:t>
      </w:r>
      <w:r>
        <w:tab/>
        <w:t>Ibid., p. 195.</w:t>
      </w:r>
    </w:p>
  </w:footnote>
  <w:footnote w:id="286">
    <w:p w:rsidR="003F2F8E" w:rsidRDefault="003F2F8E">
      <w:pPr>
        <w:pStyle w:val="Testonotaapidipagina"/>
      </w:pPr>
      <w:r>
        <w:rPr>
          <w:rStyle w:val="Rimandonotaapidipagina"/>
        </w:rPr>
        <w:footnoteRef/>
      </w:r>
      <w:r>
        <w:t xml:space="preserve"> </w:t>
      </w:r>
      <w:r>
        <w:tab/>
        <w:t>GASON, The Dieyerie Tribe, in Curr, II, p. 69. Le même procédé est employé pour expier un ridicule. Quand une personne, par sa maladresse ou autrement, a excité le rire des assistants, elle demande à l'un d'eux de la frapper sur la tête jusqu'à ce que le sang coule. A ce moment, les choses sont remises en état et la personne dont on se moquait participe elle-même à la gaieté de son entourage (ibid., p. 70).</w:t>
      </w:r>
    </w:p>
  </w:footnote>
  <w:footnote w:id="287">
    <w:p w:rsidR="003F2F8E" w:rsidRDefault="003F2F8E">
      <w:pPr>
        <w:pStyle w:val="Testonotaapidipagina"/>
      </w:pPr>
      <w:r>
        <w:rPr>
          <w:rStyle w:val="Rimandonotaapidipagina"/>
        </w:rPr>
        <w:footnoteRef/>
      </w:r>
      <w:r>
        <w:t xml:space="preserve"> </w:t>
      </w:r>
      <w:r>
        <w:tab/>
        <w:t>EYLMANN, pp. 212 et 447.</w:t>
      </w:r>
    </w:p>
  </w:footnote>
  <w:footnote w:id="288">
    <w:p w:rsidR="003F2F8E" w:rsidRDefault="003F2F8E">
      <w:pPr>
        <w:pStyle w:val="Testonotaapidipagina"/>
      </w:pPr>
      <w:r>
        <w:rPr>
          <w:rStyle w:val="Rimandonotaapidipagina"/>
        </w:rPr>
        <w:footnoteRef/>
      </w:r>
      <w:r>
        <w:t xml:space="preserve"> </w:t>
      </w:r>
      <w:r>
        <w:tab/>
        <w:t>V. plus haut, p. 551.</w:t>
      </w:r>
    </w:p>
  </w:footnote>
  <w:footnote w:id="289">
    <w:p w:rsidR="003F2F8E" w:rsidRDefault="003F2F8E">
      <w:pPr>
        <w:pStyle w:val="Testonotaapidipagina"/>
      </w:pPr>
      <w:r>
        <w:rPr>
          <w:rStyle w:val="Rimandonotaapidipagina"/>
        </w:rPr>
        <w:footnoteRef/>
      </w:r>
      <w:r>
        <w:t xml:space="preserve"> </w:t>
      </w:r>
      <w:r>
        <w:tab/>
        <w:t>The Religion of the Semites, lect. XI.</w:t>
      </w:r>
    </w:p>
  </w:footnote>
  <w:footnote w:id="290">
    <w:p w:rsidR="003F2F8E" w:rsidRDefault="003F2F8E">
      <w:pPr>
        <w:pStyle w:val="Testonotaapidipagina"/>
      </w:pPr>
      <w:r>
        <w:rPr>
          <w:rStyle w:val="Rimandonotaapidipagina"/>
        </w:rPr>
        <w:footnoteRef/>
      </w:r>
      <w:r>
        <w:t xml:space="preserve"> </w:t>
      </w:r>
      <w:r>
        <w:tab/>
        <w:t>C'est le cas des Dieri invoquant, d'après Gason, les Mura-Mura de l'eau, en temps de sécheresse.</w:t>
      </w:r>
    </w:p>
  </w:footnote>
  <w:footnote w:id="291">
    <w:p w:rsidR="003F2F8E" w:rsidRDefault="003F2F8E">
      <w:pPr>
        <w:pStyle w:val="Testonotaapidipagina"/>
      </w:pPr>
      <w:r>
        <w:rPr>
          <w:rStyle w:val="Rimandonotaapidipagina"/>
        </w:rPr>
        <w:footnoteRef/>
      </w:r>
      <w:r>
        <w:t xml:space="preserve"> </w:t>
      </w:r>
      <w:r>
        <w:tab/>
        <w:t>Op. cit., p. 262.</w:t>
      </w:r>
    </w:p>
  </w:footnote>
  <w:footnote w:id="292">
    <w:p w:rsidR="003F2F8E" w:rsidRDefault="003F2F8E">
      <w:pPr>
        <w:pStyle w:val="Testonotaapidipagina"/>
      </w:pPr>
      <w:r>
        <w:rPr>
          <w:rStyle w:val="Rimandonotaapidipagina"/>
        </w:rPr>
        <w:footnoteRef/>
      </w:r>
      <w:r>
        <w:t xml:space="preserve"> </w:t>
      </w:r>
      <w:r>
        <w:tab/>
        <w:t>Il est d'ailleurs possible que la croyance aux vertus moralement tonifiantes de la souffrance (v. plus haut, p. 446) ait ici joué quelque rôle. Puisque la douleur sanctifie, puisqu'elle élève le niveau religieux du fidèle, elle peut aussi le relever quand il est tombé au-dessous de la normale.</w:t>
      </w:r>
    </w:p>
  </w:footnote>
  <w:footnote w:id="293">
    <w:p w:rsidR="003F2F8E" w:rsidRDefault="003F2F8E">
      <w:pPr>
        <w:pStyle w:val="Testonotaapidipagina"/>
      </w:pPr>
      <w:r>
        <w:rPr>
          <w:rStyle w:val="Rimandonotaapidipagina"/>
        </w:rPr>
        <w:footnoteRef/>
      </w:r>
      <w:r>
        <w:t xml:space="preserve"> </w:t>
      </w:r>
      <w:r>
        <w:tab/>
        <w:t xml:space="preserve">Cf. ce que nous avons dit sur l'expiation dans notre Division du </w:t>
      </w:r>
      <w:r>
        <w:rPr>
          <w:i/>
          <w:iCs/>
        </w:rPr>
        <w:t xml:space="preserve">travail social, 3e </w:t>
      </w:r>
      <w:r>
        <w:t xml:space="preserve">éd., p. </w:t>
      </w:r>
      <w:r>
        <w:rPr>
          <w:i/>
          <w:iCs/>
        </w:rPr>
        <w:t xml:space="preserve">64 </w:t>
      </w:r>
      <w:r>
        <w:t>et suiv.</w:t>
      </w:r>
    </w:p>
  </w:footnote>
  <w:footnote w:id="294">
    <w:p w:rsidR="003F2F8E" w:rsidRDefault="003F2F8E">
      <w:pPr>
        <w:pStyle w:val="Testonotaapidipagina"/>
      </w:pPr>
      <w:r>
        <w:rPr>
          <w:rStyle w:val="Rimandonotaapidipagina"/>
        </w:rPr>
        <w:footnoteRef/>
      </w:r>
      <w:r>
        <w:t xml:space="preserve"> </w:t>
      </w:r>
      <w:r>
        <w:tab/>
        <w:t>V. plus haut, pp. 430-431.</w:t>
      </w:r>
    </w:p>
  </w:footnote>
  <w:footnote w:id="295">
    <w:p w:rsidR="003F2F8E" w:rsidRDefault="003F2F8E">
      <w:pPr>
        <w:pStyle w:val="Testonotaapidipagina"/>
      </w:pPr>
      <w:r>
        <w:rPr>
          <w:rStyle w:val="Rimandonotaapidipagina"/>
        </w:rPr>
        <w:footnoteRef/>
      </w:r>
      <w:r>
        <w:t xml:space="preserve"> </w:t>
      </w:r>
      <w:r>
        <w:tab/>
        <w:t>SPENCER et GILLEN, Nat. Tr., p. 460; North. Tr., p. 601; ROTH, North Queensland Ethnography, Bulletin no 5, p. 24. Il est inutile de multiplier les références à l'appui d'un fait aussi connu.</w:t>
      </w:r>
    </w:p>
  </w:footnote>
  <w:footnote w:id="296">
    <w:p w:rsidR="003F2F8E" w:rsidRDefault="003F2F8E">
      <w:pPr>
        <w:pStyle w:val="Testonotaapidipagina"/>
      </w:pPr>
      <w:r>
        <w:rPr>
          <w:rStyle w:val="Rimandonotaapidipagina"/>
        </w:rPr>
        <w:footnoteRef/>
      </w:r>
      <w:r>
        <w:t xml:space="preserve"> </w:t>
      </w:r>
      <w:r>
        <w:tab/>
        <w:t>SPENCER et GILLEN citent cependant un cas où des churinga seraient placés sous la tête du mort (Nat. Tr., p. 156). Mais, de leur aveu, le fait est unique, anormal (ibid., p. 157), et il est énergiquement nié par STREHLOW (II, p. 79).</w:t>
      </w:r>
    </w:p>
  </w:footnote>
  <w:footnote w:id="297">
    <w:p w:rsidR="003F2F8E" w:rsidRDefault="003F2F8E">
      <w:pPr>
        <w:pStyle w:val="Testonotaapidipagina"/>
      </w:pPr>
      <w:r>
        <w:rPr>
          <w:rStyle w:val="Rimandonotaapidipagina"/>
        </w:rPr>
        <w:footnoteRef/>
      </w:r>
      <w:r>
        <w:t xml:space="preserve"> </w:t>
      </w:r>
      <w:r>
        <w:tab/>
        <w:t>Robertson SMITH, Rel. of Semites, p. 153, cf. p. 446, la note additionnelle intitulée Holiness, Uncleanness and Taboo.</w:t>
      </w:r>
    </w:p>
  </w:footnote>
  <w:footnote w:id="298">
    <w:p w:rsidR="003F2F8E" w:rsidRDefault="003F2F8E">
      <w:pPr>
        <w:pStyle w:val="Testonotaapidipagina"/>
      </w:pPr>
      <w:r>
        <w:rPr>
          <w:rStyle w:val="Rimandonotaapidipagina"/>
        </w:rPr>
        <w:footnoteRef/>
      </w:r>
      <w:r>
        <w:t xml:space="preserve"> </w:t>
      </w:r>
      <w:r>
        <w:tab/>
        <w:t>HOWITT, Nat. Tr., p. 448-450; BROUGH SMYTH, I, pp. 118,120; Dawson, p. 67 ; EYRE, II, p. 257; ROTH, North Queensland Ethn., Bull. no 9, in Rec. of the Australian Museum, VI, no 5, p. 367.</w:t>
      </w:r>
    </w:p>
  </w:footnote>
  <w:footnote w:id="299">
    <w:p w:rsidR="003F2F8E" w:rsidRDefault="003F2F8E">
      <w:pPr>
        <w:pStyle w:val="Testonotaapidipagina"/>
      </w:pPr>
      <w:r>
        <w:rPr>
          <w:rStyle w:val="Rimandonotaapidipagina"/>
        </w:rPr>
        <w:footnoteRef/>
      </w:r>
      <w:r>
        <w:t xml:space="preserve"> </w:t>
      </w:r>
      <w:r>
        <w:tab/>
        <w:t>V. plus haut, pp. 457-458.</w:t>
      </w:r>
    </w:p>
  </w:footnote>
  <w:footnote w:id="300">
    <w:p w:rsidR="003F2F8E" w:rsidRDefault="003F2F8E">
      <w:pPr>
        <w:pStyle w:val="Testonotaapidipagina"/>
      </w:pPr>
      <w:r>
        <w:rPr>
          <w:rStyle w:val="Rimandonotaapidipagina"/>
        </w:rPr>
        <w:footnoteRef/>
      </w:r>
      <w:r>
        <w:t xml:space="preserve"> </w:t>
      </w:r>
      <w:r>
        <w:tab/>
        <w:t>SPENCER et GILLEN, Nat. Tr., p. 464; North. Tr., p. 599.</w:t>
      </w:r>
    </w:p>
  </w:footnote>
  <w:footnote w:id="301">
    <w:p w:rsidR="003F2F8E" w:rsidRDefault="003F2F8E">
      <w:pPr>
        <w:pStyle w:val="Testonotaapidipagina"/>
      </w:pPr>
      <w:r>
        <w:rPr>
          <w:rStyle w:val="Rimandonotaapidipagina"/>
        </w:rPr>
        <w:footnoteRef/>
      </w:r>
      <w:r>
        <w:t xml:space="preserve"> </w:t>
      </w:r>
      <w:r>
        <w:tab/>
        <w:t>Par exemple, chez les Hébreux, avec le sang de la victime expiatoire on lustre l'autel (Lévitique, IV, 5 et suiv.) ; on brûle les chairs et les produits de la combustion servent à faire une eau de purification (Nombres, XIX).</w:t>
      </w:r>
    </w:p>
  </w:footnote>
  <w:footnote w:id="302">
    <w:p w:rsidR="003F2F8E" w:rsidRDefault="003F2F8E">
      <w:pPr>
        <w:pStyle w:val="Testonotaapidipagina"/>
      </w:pPr>
      <w:r>
        <w:rPr>
          <w:rStyle w:val="Rimandonotaapidipagina"/>
        </w:rPr>
        <w:footnoteRef/>
      </w:r>
      <w:r>
        <w:t xml:space="preserve"> </w:t>
      </w:r>
      <w:r>
        <w:tab/>
        <w:t xml:space="preserve">TAPLIN, </w:t>
      </w:r>
      <w:r>
        <w:rPr>
          <w:i/>
          <w:iCs/>
        </w:rPr>
        <w:t xml:space="preserve">The Narrinyeri Tribe, pp. 32-34. </w:t>
      </w:r>
      <w:r>
        <w:t>Quand les deux individus qui ont ainsi échangé leurs cordons ombilicaux appartiennent à des tribus différentes, ils sont employés comme agents du commerce intertribal. Dans ce cas, l'échange des cordons a lieu peu de temps après leur naissance et par l'intermédiaire de leurs parents respectifs.</w:t>
      </w:r>
    </w:p>
  </w:footnote>
  <w:footnote w:id="303">
    <w:p w:rsidR="003F2F8E" w:rsidRDefault="003F2F8E">
      <w:pPr>
        <w:pStyle w:val="Testonotaapidipagina"/>
      </w:pPr>
      <w:r>
        <w:rPr>
          <w:rStyle w:val="Rimandonotaapidipagina"/>
        </w:rPr>
        <w:footnoteRef/>
      </w:r>
      <w:r>
        <w:t xml:space="preserve"> </w:t>
      </w:r>
      <w:r>
        <w:tab/>
        <w:t>SMITH, il est vrai, n'admet pas la réalité de ces substitutions et de ces transformations. Suivant lui, si la victime expiatoire servait à purifier, c'est que, par elle-même, elle n'avait rien d'impur. Primitivement, c'était une chose sainte ; elle était destinée à rétablir, par le moyen d'une communion, les liens de parenté qui unissaient le fidèle à son dieu quand un manquement rituel les avait détendus ou brisés. On choisissait même, pour cette opération, un animal exceptionnellement saint afin que la communion fût plus efficace et effaçât plus complètement les effets de la faute. C'est seulement quand on eut cessé de comprendre le sens du rite que l'animal sacro-saint fut considéré comme impur (op. cit., p. 347 et suiv.). Mais il est inadmissible que des croyances et des pratiques aussi universelles que celles que nous trouvons à la base du sacrifice expiatoire soient le produit d'une simple erreur d'interprétation. En fait, il n'est pas douteux que la victime expiatoire ne soit chargée de l'impureté du péché. D'ailleurs, nous venons de voir que ces transformations du pur ou impur ou inversement se rencontrent dès les sociétés les plus inférieures que nous connaissions.</w:t>
      </w:r>
    </w:p>
  </w:footnote>
  <w:footnote w:id="304">
    <w:p w:rsidR="003F2F8E" w:rsidRDefault="003F2F8E">
      <w:pPr>
        <w:pStyle w:val="Testonotaapidipagina"/>
      </w:pPr>
      <w:r>
        <w:rPr>
          <w:rStyle w:val="Rimandonotaapidipagina"/>
        </w:rPr>
        <w:footnoteRef/>
      </w:r>
      <w:r>
        <w:t xml:space="preserve"> </w:t>
      </w:r>
      <w:r>
        <w:tab/>
        <w:t>William James, The Varieties or Religious Experience.</w:t>
      </w:r>
    </w:p>
  </w:footnote>
  <w:footnote w:id="305">
    <w:p w:rsidR="003F2F8E" w:rsidRDefault="003F2F8E">
      <w:pPr>
        <w:pStyle w:val="Testonotaapidipagina"/>
      </w:pPr>
      <w:r>
        <w:rPr>
          <w:rStyle w:val="Rimandonotaapidipagina"/>
        </w:rPr>
        <w:footnoteRef/>
      </w:r>
      <w:r>
        <w:t xml:space="preserve"> </w:t>
      </w:r>
      <w:r>
        <w:tab/>
        <w:t>James, op. cit. (p. 19 de la traduction française).</w:t>
      </w:r>
    </w:p>
  </w:footnote>
  <w:footnote w:id="306">
    <w:p w:rsidR="003F2F8E" w:rsidRDefault="003F2F8E">
      <w:pPr>
        <w:pStyle w:val="Testonotaapidipagina"/>
      </w:pPr>
      <w:r>
        <w:rPr>
          <w:rStyle w:val="Rimandonotaapidipagina"/>
        </w:rPr>
        <w:footnoteRef/>
      </w:r>
      <w:r>
        <w:t xml:space="preserve"> </w:t>
      </w:r>
      <w:r>
        <w:tab/>
        <w:t>V. plus haut, p. 329 et suiv.</w:t>
      </w:r>
    </w:p>
  </w:footnote>
  <w:footnote w:id="307">
    <w:p w:rsidR="003F2F8E" w:rsidRDefault="003F2F8E">
      <w:pPr>
        <w:pStyle w:val="Testonotaapidipagina"/>
      </w:pPr>
      <w:r>
        <w:rPr>
          <w:rStyle w:val="Rimandonotaapidipagina"/>
        </w:rPr>
        <w:footnoteRef/>
      </w:r>
      <w:r>
        <w:t xml:space="preserve"> </w:t>
      </w:r>
      <w:r>
        <w:tab/>
        <w:t>Une seule forme de l'activité sociale n'a pas encore été expressément rattachée à la religion: c'est l'activité économique. Toutefois les techniques qui dérivent de la magie se trouvent, par cela même, avoir des origines indirectement religieuses. De plus, la valeur économique est une sorte de pouvoir, d'efficacité, et nous savons les origines religieuses de l'idée de pouvoir. La richesse peut conférer du mana; c'est donc qu'elle en a. Par là, on entrevoit que l'idée de valeur économique et celle de valeur religieuse ne doivent pas être sans rapports. Mais la question de savoir quelle est la nature de ces rapports n'a pas encore été étudiée.</w:t>
      </w:r>
    </w:p>
  </w:footnote>
  <w:footnote w:id="308">
    <w:p w:rsidR="003F2F8E" w:rsidRDefault="003F2F8E">
      <w:pPr>
        <w:pStyle w:val="Testonotaapidipagina"/>
      </w:pPr>
      <w:r>
        <w:rPr>
          <w:rStyle w:val="Rimandonotaapidipagina"/>
        </w:rPr>
        <w:footnoteRef/>
      </w:r>
      <w:r>
        <w:t xml:space="preserve"> </w:t>
      </w:r>
      <w:r>
        <w:tab/>
        <w:t>C'est pour cette raison que Frazer et même Preuss mettent les forces religieuses impersonnelles en dehors ou, tout au plus, sur le seuil de la religion, pour les rattacher à la magie.</w:t>
      </w:r>
    </w:p>
  </w:footnote>
  <w:footnote w:id="309">
    <w:p w:rsidR="003F2F8E" w:rsidRDefault="003F2F8E">
      <w:pPr>
        <w:pStyle w:val="Testonotaapidipagina"/>
      </w:pPr>
      <w:r>
        <w:rPr>
          <w:rStyle w:val="Rimandonotaapidipagina"/>
        </w:rPr>
        <w:footnoteRef/>
      </w:r>
      <w:r>
        <w:t xml:space="preserve"> </w:t>
      </w:r>
      <w:r>
        <w:tab/>
        <w:t>BOUTROUX, Science et religion, pp. 206-207.</w:t>
      </w:r>
    </w:p>
  </w:footnote>
  <w:footnote w:id="310">
    <w:p w:rsidR="003F2F8E" w:rsidRDefault="003F2F8E">
      <w:pPr>
        <w:pStyle w:val="Testonotaapidipagina"/>
      </w:pPr>
      <w:r>
        <w:rPr>
          <w:rStyle w:val="Rimandonotaapidipagina"/>
        </w:rPr>
        <w:footnoteRef/>
      </w:r>
      <w:r>
        <w:t xml:space="preserve"> </w:t>
      </w:r>
      <w:r>
        <w:tab/>
        <w:t>V. plus haut, p. 542 et suiv. Cf. sur cette même question notre article: Représentations individuelles et représentations collectives, in Revue de Métaphysique, mai 1898.</w:t>
      </w:r>
    </w:p>
  </w:footnote>
  <w:footnote w:id="311">
    <w:p w:rsidR="003F2F8E" w:rsidRDefault="003F2F8E">
      <w:pPr>
        <w:pStyle w:val="Testonotaapidipagina"/>
      </w:pPr>
      <w:r>
        <w:rPr>
          <w:rStyle w:val="Rimandonotaapidipagina"/>
        </w:rPr>
        <w:footnoteRef/>
      </w:r>
      <w:r>
        <w:t xml:space="preserve"> </w:t>
      </w:r>
      <w:r>
        <w:tab/>
        <w:t>William James, The Principles or Psychology, I, p. 464.</w:t>
      </w:r>
    </w:p>
  </w:footnote>
  <w:footnote w:id="312">
    <w:p w:rsidR="003F2F8E" w:rsidRDefault="003F2F8E">
      <w:pPr>
        <w:pStyle w:val="Testonotaapidipagina"/>
      </w:pPr>
      <w:r>
        <w:rPr>
          <w:rStyle w:val="Rimandonotaapidipagina"/>
        </w:rPr>
        <w:footnoteRef/>
      </w:r>
      <w:r>
        <w:t xml:space="preserve"> </w:t>
      </w:r>
      <w:r>
        <w:tab/>
        <w:t xml:space="preserve">Cette universalité du concept ne doit pas être confondue avec </w:t>
      </w:r>
      <w:r>
        <w:rPr>
          <w:i/>
          <w:iCs/>
        </w:rPr>
        <w:t xml:space="preserve">sa </w:t>
      </w:r>
      <w:r>
        <w:t>généralité : ce sont choses très différentes. Ce que nous appelons universalité, c'est la propriété qu'a le concept d'être communiqué à une pluralité d'esprits, et même, en principe, à tous les esprits ; or cette communicabilité est tout à fait indépendante de son degré d'extension. Uri concept qui ne s'applique qu'à un seul objet, dont l'extension, par suite, est minima, peut être universel en ce sens qu'il est le même pour tous les entendements ; tel, le concept d'une divinité.</w:t>
      </w:r>
    </w:p>
  </w:footnote>
  <w:footnote w:id="313">
    <w:p w:rsidR="003F2F8E" w:rsidRDefault="003F2F8E">
      <w:pPr>
        <w:pStyle w:val="Testonotaapidipagina"/>
      </w:pPr>
      <w:r>
        <w:rPr>
          <w:rStyle w:val="Rimandonotaapidipagina"/>
        </w:rPr>
        <w:footnoteRef/>
      </w:r>
      <w:r>
        <w:t xml:space="preserve"> </w:t>
      </w:r>
      <w:r>
        <w:tab/>
        <w:t>On objectera que souvent, chez l'individu, par le seul effet de la répétition, des manières d'agir ou de penser se fixent et se cristallisent sous forme d'habitudes qui résistent au changement. Mais l'habitude n'est qu'une tendance à répéter automatiquement un acte ou une idée 1 toutes les fois que les mêmes circonstances la réveillent ; elle n'implique pas que l'idée ou l'acte soient constitués à l'état de types exemplaires, proposés ou imposés à J'esprit on à la volonté. C'est seulement quand un type de ce genre est préétabli, c'est-à-dire quand une règle, une norme est instituée, que l'action sociale peut et doit être présumée.</w:t>
      </w:r>
    </w:p>
  </w:footnote>
  <w:footnote w:id="314">
    <w:p w:rsidR="003F2F8E" w:rsidRDefault="003F2F8E">
      <w:pPr>
        <w:pStyle w:val="Testonotaapidipagina"/>
      </w:pPr>
      <w:r>
        <w:rPr>
          <w:rStyle w:val="Rimandonotaapidipagina"/>
        </w:rPr>
        <w:footnoteRef/>
      </w:r>
      <w:r>
        <w:t xml:space="preserve"> </w:t>
      </w:r>
      <w:r>
        <w:tab/>
        <w:t>On voit combien il s'en faut qu'une représentation manque de valeur objective par cela seul qu'elle a une origine sociale.</w:t>
      </w:r>
    </w:p>
  </w:footnote>
  <w:footnote w:id="315">
    <w:p w:rsidR="003F2F8E" w:rsidRDefault="003F2F8E">
      <w:pPr>
        <w:pStyle w:val="Testonotaapidipagina"/>
      </w:pPr>
      <w:r>
        <w:rPr>
          <w:rStyle w:val="Rimandonotaapidipagina"/>
        </w:rPr>
        <w:footnoteRef/>
      </w:r>
      <w:r>
        <w:t xml:space="preserve"> </w:t>
      </w:r>
      <w:r>
        <w:tab/>
        <w:t>Cf. plus haut, p. 298.</w:t>
      </w:r>
    </w:p>
  </w:footnote>
  <w:footnote w:id="316">
    <w:p w:rsidR="003F2F8E" w:rsidRDefault="003F2F8E">
      <w:pPr>
        <w:pStyle w:val="Testonotaapidipagina"/>
      </w:pPr>
      <w:r>
        <w:rPr>
          <w:rStyle w:val="Rimandonotaapidipagina"/>
        </w:rPr>
        <w:footnoteRef/>
      </w:r>
      <w:r>
        <w:t xml:space="preserve"> </w:t>
      </w:r>
      <w:r>
        <w:tab/>
        <w:t>Les fonctions mentales dans les sociétés inférieures, pp. 131-138.</w:t>
      </w:r>
    </w:p>
  </w:footnote>
  <w:footnote w:id="317">
    <w:p w:rsidR="003F2F8E" w:rsidRDefault="003F2F8E">
      <w:pPr>
        <w:pStyle w:val="Testonotaapidipagina"/>
      </w:pPr>
      <w:r>
        <w:rPr>
          <w:rStyle w:val="Rimandonotaapidipagina"/>
        </w:rPr>
        <w:footnoteRef/>
      </w:r>
      <w:r>
        <w:t xml:space="preserve"> </w:t>
      </w:r>
      <w:r>
        <w:tab/>
        <w:t>Ibid., p. 446.</w:t>
      </w:r>
    </w:p>
  </w:footnote>
  <w:footnote w:id="318">
    <w:p w:rsidR="003F2F8E" w:rsidRDefault="003F2F8E">
      <w:pPr>
        <w:pStyle w:val="Testonotaapidipagina"/>
      </w:pPr>
      <w:r>
        <w:rPr>
          <w:rStyle w:val="Rimandonotaapidipagina"/>
        </w:rPr>
        <w:footnoteRef/>
      </w:r>
      <w:r>
        <w:t xml:space="preserve"> </w:t>
      </w:r>
      <w:r>
        <w:tab/>
        <w:t>V. plus haut, p. 26.</w:t>
      </w:r>
    </w:p>
  </w:footnote>
  <w:footnote w:id="319">
    <w:p w:rsidR="003F2F8E" w:rsidRDefault="003F2F8E">
      <w:pPr>
        <w:pStyle w:val="Testonotaapidipagina"/>
      </w:pPr>
      <w:r>
        <w:rPr>
          <w:rStyle w:val="Rimandonotaapidipagina"/>
        </w:rPr>
        <w:footnoteRef/>
      </w:r>
      <w:r>
        <w:t xml:space="preserve"> </w:t>
      </w:r>
      <w:r>
        <w:tab/>
        <w:t>William James, Principes of Psychology, I, p. 134.</w:t>
      </w:r>
    </w:p>
  </w:footnote>
  <w:footnote w:id="320">
    <w:p w:rsidR="003F2F8E" w:rsidRDefault="003F2F8E">
      <w:pPr>
        <w:pStyle w:val="Testonotaapidipagina"/>
      </w:pPr>
      <w:r>
        <w:rPr>
          <w:rStyle w:val="Rimandonotaapidipagina"/>
        </w:rPr>
        <w:footnoteRef/>
      </w:r>
      <w:r>
        <w:t xml:space="preserve"> </w:t>
      </w:r>
      <w:r>
        <w:tab/>
        <w:t>On parle souvent de l'espace et du temps comme s'ils n'étaient que l'étendue et la durée concrètes, telles que peut les sentir la conscience individuelle, mais appauvries par l'abstraction. En réalité, ce sont des représentations d'un tout autre genre, construites avec d'autres éléments, suivant un plan très différent, et en vue de fins également différentes.</w:t>
      </w:r>
    </w:p>
  </w:footnote>
  <w:footnote w:id="321">
    <w:p w:rsidR="003F2F8E" w:rsidRDefault="003F2F8E">
      <w:pPr>
        <w:pStyle w:val="Testonotaapidipagina"/>
      </w:pPr>
      <w:r>
        <w:rPr>
          <w:rStyle w:val="Rimandonotaapidipagina"/>
        </w:rPr>
        <w:footnoteRef/>
      </w:r>
      <w:r>
        <w:t xml:space="preserve"> </w:t>
      </w:r>
      <w:r>
        <w:tab/>
        <w:t>Au fond, concept de totalité, concept de société, concept de divinité ne sont vraisemblablement que des aspects différents d'une seule et même notion.</w:t>
      </w:r>
    </w:p>
  </w:footnote>
  <w:footnote w:id="322">
    <w:p w:rsidR="003F2F8E" w:rsidRDefault="003F2F8E">
      <w:pPr>
        <w:pStyle w:val="Testonotaapidipagina"/>
      </w:pPr>
      <w:r>
        <w:rPr>
          <w:rStyle w:val="Rimandonotaapidipagina"/>
        </w:rPr>
        <w:footnoteRef/>
      </w:r>
      <w:r>
        <w:t xml:space="preserve"> </w:t>
      </w:r>
      <w:r>
        <w:tab/>
        <w:t>V. Classifications primitives, toc. cil., p. 40 et suiv.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F8E" w:rsidRDefault="003F2F8E">
    <w:pPr>
      <w:pStyle w:val="Intestazione"/>
      <w:tabs>
        <w:tab w:val="clear" w:pos="4320"/>
        <w:tab w:val="clear" w:pos="8640"/>
        <w:tab w:val="right" w:pos="8280"/>
        <w:tab w:val="right" w:pos="9000"/>
      </w:tabs>
      <w:ind w:firstLine="0"/>
      <w:rPr>
        <w:rFonts w:ascii="Times" w:hAnsi="Times" w:cs="Times"/>
      </w:rPr>
    </w:pPr>
    <w:r>
      <w:rPr>
        <w:rFonts w:ascii="Times" w:hAnsi="Times" w:cs="Times"/>
      </w:rPr>
      <w:tab/>
      <w:t>Émile Durkheim , Les formes élémentaires de la vie religieuse : livre troisième</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w:instrText>
    </w:r>
    <w:r w:rsidR="002143E4">
      <w:rPr>
        <w:rStyle w:val="Numeropagina"/>
        <w:rFonts w:ascii="Times" w:hAnsi="Times" w:cs="Times"/>
      </w:rPr>
      <w:instrText>PAGE</w:instrText>
    </w:r>
    <w:r>
      <w:rPr>
        <w:rStyle w:val="Numeropagina"/>
        <w:rFonts w:ascii="Times" w:hAnsi="Times" w:cs="Times"/>
      </w:rPr>
      <w:instrText xml:space="preserve"> </w:instrText>
    </w:r>
    <w:r>
      <w:rPr>
        <w:rStyle w:val="Numeropagina"/>
        <w:rFonts w:ascii="Times" w:hAnsi="Times" w:cs="Times"/>
      </w:rPr>
      <w:fldChar w:fldCharType="separate"/>
    </w:r>
    <w:r>
      <w:rPr>
        <w:rStyle w:val="Numeropagina"/>
        <w:rFonts w:ascii="Times" w:hAnsi="Times" w:cs="Times"/>
        <w:noProof/>
      </w:rPr>
      <w:t>282</w:t>
    </w:r>
    <w:r>
      <w:rPr>
        <w:rStyle w:val="Numeropagina"/>
        <w:rFonts w:ascii="Times" w:hAnsi="Times" w:cs="Times"/>
      </w:rPr>
      <w:fldChar w:fldCharType="end"/>
    </w:r>
  </w:p>
  <w:p w:rsidR="003F2F8E" w:rsidRDefault="003F2F8E">
    <w:pPr>
      <w:pBdr>
        <w:top w:val="single" w:sz="4" w:space="1" w:color="auto"/>
      </w:pBdr>
      <w:spacing w:before="60"/>
      <w:rPr>
        <w:rStyle w:val="Numeropagina"/>
        <w:rFonts w:ascii="Times" w:hAnsi="Times" w:cs="Time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307A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0C4D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28D0A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B3A7A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5C95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2C34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88AF8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26A9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9C8D4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AE8528"/>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6"/>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5F7"/>
    <w:rsid w:val="002143E4"/>
    <w:rsid w:val="003F2F8E"/>
    <w:rsid w:val="00D456E4"/>
  </w:rsids>
  <m:mathPr>
    <m:mathFont m:val="Cambria Math"/>
    <m:brkBin m:val="before"/>
    <m:brkBinSub m:val="--"/>
    <m:smallFrac m:val="0"/>
    <m:dispDef m:val="0"/>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D420FECC-AB63-3E40-AA3B-2FC8A6C70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ascii="AGaramond" w:hAnsi="AGaramond" w:cs="AGaramond"/>
      <w:sz w:val="24"/>
      <w:szCs w:val="24"/>
      <w:lang w:val="fr-CA" w:eastAsia="fr-FR" w:bidi="en-US"/>
    </w:rPr>
  </w:style>
  <w:style w:type="paragraph" w:styleId="Titolo1">
    <w:name w:val="heading 1"/>
    <w:basedOn w:val="Normale"/>
    <w:next w:val="Normale"/>
    <w:qFormat/>
    <w:pPr>
      <w:ind w:firstLine="0"/>
      <w:outlineLvl w:val="0"/>
    </w:pPr>
    <w:rPr>
      <w:rFonts w:ascii="Times" w:hAnsi="Times" w:cs="Times"/>
      <w:noProof/>
      <w:sz w:val="20"/>
      <w:szCs w:val="20"/>
      <w:lang w:val="fr-FR"/>
    </w:rPr>
  </w:style>
  <w:style w:type="paragraph" w:styleId="Titolo2">
    <w:name w:val="heading 2"/>
    <w:basedOn w:val="Normale"/>
    <w:next w:val="Normale"/>
    <w:qFormat/>
    <w:pPr>
      <w:ind w:firstLine="0"/>
      <w:outlineLvl w:val="1"/>
    </w:pPr>
    <w:rPr>
      <w:rFonts w:ascii="Times" w:hAnsi="Times" w:cs="Times"/>
      <w:noProof/>
      <w:sz w:val="20"/>
      <w:szCs w:val="20"/>
      <w:lang w:val="fr-FR"/>
    </w:rPr>
  </w:style>
  <w:style w:type="paragraph" w:styleId="Titolo3">
    <w:name w:val="heading 3"/>
    <w:basedOn w:val="Normale"/>
    <w:next w:val="Normale"/>
    <w:qFormat/>
    <w:pPr>
      <w:ind w:firstLine="0"/>
      <w:outlineLvl w:val="2"/>
    </w:pPr>
    <w:rPr>
      <w:rFonts w:ascii="Times" w:hAnsi="Times" w:cs="Times"/>
      <w:noProof/>
      <w:sz w:val="20"/>
      <w:szCs w:val="20"/>
      <w:lang w:val="fr-FR"/>
    </w:rPr>
  </w:style>
  <w:style w:type="paragraph" w:styleId="Titolo4">
    <w:name w:val="heading 4"/>
    <w:basedOn w:val="Normale"/>
    <w:next w:val="Normale"/>
    <w:qFormat/>
    <w:pPr>
      <w:ind w:firstLine="0"/>
      <w:outlineLvl w:val="3"/>
    </w:pPr>
    <w:rPr>
      <w:rFonts w:ascii="Times" w:hAnsi="Times" w:cs="Times"/>
      <w:noProof/>
      <w:sz w:val="20"/>
      <w:szCs w:val="20"/>
      <w:lang w:val="fr-FR"/>
    </w:rPr>
  </w:style>
  <w:style w:type="paragraph" w:styleId="Titolo5">
    <w:name w:val="heading 5"/>
    <w:basedOn w:val="Normale"/>
    <w:next w:val="Normale"/>
    <w:qFormat/>
    <w:pPr>
      <w:ind w:firstLine="0"/>
      <w:outlineLvl w:val="4"/>
    </w:pPr>
    <w:rPr>
      <w:rFonts w:ascii="Times" w:hAnsi="Times" w:cs="Times"/>
      <w:noProof/>
      <w:sz w:val="20"/>
      <w:szCs w:val="20"/>
      <w:lang w:val="fr-FR"/>
    </w:rPr>
  </w:style>
  <w:style w:type="paragraph" w:styleId="Titolo6">
    <w:name w:val="heading 6"/>
    <w:basedOn w:val="Normale"/>
    <w:next w:val="Normale"/>
    <w:qFormat/>
    <w:pPr>
      <w:ind w:firstLine="0"/>
      <w:outlineLvl w:val="5"/>
    </w:pPr>
    <w:rPr>
      <w:rFonts w:ascii="Times" w:hAnsi="Times" w:cs="Times"/>
      <w:noProof/>
      <w:sz w:val="20"/>
      <w:szCs w:val="20"/>
      <w:lang w:val="fr-FR"/>
    </w:rPr>
  </w:style>
  <w:style w:type="paragraph" w:styleId="Titolo7">
    <w:name w:val="heading 7"/>
    <w:basedOn w:val="Normale"/>
    <w:next w:val="Normale"/>
    <w:qFormat/>
    <w:pPr>
      <w:ind w:firstLine="0"/>
      <w:outlineLvl w:val="6"/>
    </w:pPr>
    <w:rPr>
      <w:rFonts w:ascii="Times" w:hAnsi="Times" w:cs="Times"/>
      <w:noProof/>
      <w:sz w:val="20"/>
      <w:szCs w:val="20"/>
      <w:lang w:val="fr-FR"/>
    </w:rPr>
  </w:style>
  <w:style w:type="paragraph" w:styleId="Titolo8">
    <w:name w:val="heading 8"/>
    <w:basedOn w:val="Normale"/>
    <w:next w:val="Normale"/>
    <w:qFormat/>
    <w:pPr>
      <w:ind w:firstLine="0"/>
      <w:outlineLvl w:val="7"/>
    </w:pPr>
    <w:rPr>
      <w:rFonts w:ascii="Times" w:hAnsi="Times" w:cs="Times"/>
      <w:noProof/>
      <w:sz w:val="20"/>
      <w:szCs w:val="20"/>
      <w:lang w:val="fr-FR"/>
    </w:rPr>
  </w:style>
  <w:style w:type="paragraph" w:styleId="Titolo9">
    <w:name w:val="heading 9"/>
    <w:basedOn w:val="Normale"/>
    <w:next w:val="Normale"/>
    <w:qFormat/>
    <w:pPr>
      <w:ind w:firstLine="0"/>
      <w:outlineLvl w:val="8"/>
    </w:pPr>
    <w:rPr>
      <w:rFonts w:ascii="Times" w:hAnsi="Times" w:cs="Times"/>
      <w:noProof/>
      <w:sz w:val="20"/>
      <w:szCs w:val="20"/>
      <w:lang w:val="fr-FR"/>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semiHidden/>
    <w:rPr>
      <w:color w:val="FF0000"/>
      <w:position w:val="6"/>
      <w:sz w:val="16"/>
      <w:szCs w:val="16"/>
    </w:rPr>
  </w:style>
  <w:style w:type="paragraph" w:styleId="Grigliaacolori-Colore1">
    <w:name w:val="Colorful Grid Accent 1"/>
    <w:basedOn w:val="Normale"/>
    <w:pPr>
      <w:ind w:left="720"/>
      <w:jc w:val="both"/>
    </w:pPr>
    <w:rPr>
      <w:sz w:val="20"/>
      <w:szCs w:val="20"/>
    </w:rPr>
  </w:style>
  <w:style w:type="paragraph" w:customStyle="1" w:styleId="Niveau1">
    <w:name w:val="Niveau 1"/>
    <w:basedOn w:val="Normale"/>
    <w:pPr>
      <w:ind w:firstLine="0"/>
    </w:pPr>
    <w:rPr>
      <w:rFonts w:ascii="Times" w:hAnsi="Times" w:cs="Times"/>
      <w:b/>
      <w:bCs/>
      <w:color w:val="FF0000"/>
      <w:sz w:val="72"/>
      <w:szCs w:val="72"/>
    </w:rPr>
  </w:style>
  <w:style w:type="paragraph" w:customStyle="1" w:styleId="Niveau11">
    <w:name w:val="Niveau 1.1"/>
    <w:basedOn w:val="Niveau1"/>
    <w:rPr>
      <w:color w:val="008000"/>
      <w:sz w:val="60"/>
      <w:szCs w:val="60"/>
    </w:rPr>
  </w:style>
  <w:style w:type="paragraph" w:customStyle="1" w:styleId="Niveau12">
    <w:name w:val="Niveau 1.2"/>
    <w:basedOn w:val="Niveau11"/>
    <w:pPr>
      <w:ind w:left="360" w:hanging="360"/>
    </w:pPr>
    <w:rPr>
      <w:i/>
      <w:iCs/>
      <w:color w:val="000080"/>
      <w:sz w:val="28"/>
      <w:szCs w:val="28"/>
    </w:rPr>
  </w:style>
  <w:style w:type="paragraph" w:customStyle="1" w:styleId="Niveau2">
    <w:name w:val="Niveau 2"/>
    <w:basedOn w:val="Normale"/>
    <w:rPr>
      <w:rFonts w:ascii="GillSans" w:hAnsi="GillSans" w:cs="GillSans"/>
      <w:sz w:val="20"/>
      <w:szCs w:val="20"/>
    </w:rPr>
  </w:style>
  <w:style w:type="paragraph" w:customStyle="1" w:styleId="Niveau3">
    <w:name w:val="Niveau 3"/>
    <w:basedOn w:val="Normale"/>
    <w:pPr>
      <w:ind w:left="720" w:hanging="360"/>
    </w:pPr>
    <w:rPr>
      <w:rFonts w:ascii="BI Times BoldItalic" w:hAnsi="BI Times BoldItalic" w:cs="BI Times BoldItalic"/>
    </w:rPr>
  </w:style>
  <w:style w:type="paragraph" w:customStyle="1" w:styleId="Titreniveau1">
    <w:name w:val="Titre niveau 1"/>
    <w:basedOn w:val="Niveau1"/>
    <w:pPr>
      <w:pBdr>
        <w:bottom w:val="single" w:sz="4" w:space="1" w:color="auto"/>
      </w:pBdr>
      <w:ind w:right="1980"/>
    </w:pPr>
    <w:rPr>
      <w:sz w:val="60"/>
      <w:szCs w:val="60"/>
    </w:rPr>
  </w:style>
  <w:style w:type="paragraph" w:customStyle="1" w:styleId="Titreniveau2">
    <w:name w:val="Titre niveau 2"/>
    <w:basedOn w:val="Titreniveau1"/>
    <w:pPr>
      <w:widowControl w:val="0"/>
      <w:pBdr>
        <w:bottom w:val="none" w:sz="0" w:space="0" w:color="auto"/>
      </w:pBdr>
      <w:ind w:right="0"/>
    </w:pPr>
    <w:rPr>
      <w:color w:val="800000"/>
      <w:sz w:val="48"/>
      <w:szCs w:val="48"/>
    </w:rPr>
  </w:style>
  <w:style w:type="paragraph" w:styleId="Corpotesto">
    <w:name w:val="Body Text"/>
    <w:basedOn w:val="Normale"/>
    <w:pPr>
      <w:spacing w:before="360" w:after="240"/>
      <w:ind w:firstLine="0"/>
      <w:jc w:val="center"/>
    </w:pPr>
    <w:rPr>
      <w:rFonts w:ascii="Times" w:hAnsi="Times" w:cs="Times"/>
      <w:sz w:val="72"/>
      <w:szCs w:val="72"/>
    </w:rPr>
  </w:style>
  <w:style w:type="paragraph" w:styleId="Corpodeltesto2">
    <w:name w:val="Body Text 2"/>
    <w:basedOn w:val="Normale"/>
    <w:pPr>
      <w:ind w:left="20" w:firstLine="400"/>
    </w:pPr>
    <w:rPr>
      <w:rFonts w:ascii="Arial" w:hAnsi="Arial" w:cs="Arial"/>
    </w:rPr>
  </w:style>
  <w:style w:type="paragraph" w:styleId="Corpodeltesto3">
    <w:name w:val="Body Text 3"/>
    <w:basedOn w:val="Normale"/>
    <w:pPr>
      <w:tabs>
        <w:tab w:val="left" w:pos="510"/>
      </w:tabs>
      <w:ind w:firstLine="0"/>
      <w:jc w:val="both"/>
    </w:pPr>
    <w:rPr>
      <w:rFonts w:ascii="Arial" w:hAnsi="Arial" w:cs="Arial"/>
      <w:sz w:val="20"/>
      <w:szCs w:val="20"/>
    </w:rPr>
  </w:style>
  <w:style w:type="paragraph" w:styleId="Intestazione">
    <w:name w:val="header"/>
    <w:basedOn w:val="Normale"/>
    <w:pPr>
      <w:tabs>
        <w:tab w:val="center" w:pos="4320"/>
        <w:tab w:val="right" w:pos="8640"/>
      </w:tabs>
    </w:pPr>
    <w:rPr>
      <w:rFonts w:ascii="GillSans" w:hAnsi="GillSans" w:cs="GillSans"/>
      <w:sz w:val="20"/>
      <w:szCs w:val="20"/>
    </w:rPr>
  </w:style>
  <w:style w:type="paragraph" w:customStyle="1" w:styleId="En-tteimpaire">
    <w:name w:val="En-tête impaire"/>
    <w:basedOn w:val="Intestazione"/>
    <w:pPr>
      <w:tabs>
        <w:tab w:val="right" w:pos="8280"/>
        <w:tab w:val="right" w:pos="9000"/>
      </w:tabs>
      <w:ind w:firstLine="0"/>
    </w:pPr>
  </w:style>
  <w:style w:type="paragraph" w:customStyle="1" w:styleId="En-ttepaire">
    <w:name w:val="En-tê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cs="GillSans"/>
      <w:b/>
      <w:bCs/>
      <w:sz w:val="20"/>
      <w:szCs w:val="20"/>
    </w:rPr>
  </w:style>
  <w:style w:type="character" w:styleId="Collegamentoipertestuale">
    <w:name w:val="Hyperlink"/>
    <w:basedOn w:val="Carpredefinitoparagrafo"/>
    <w:rPr>
      <w:color w:val="0000FF"/>
      <w:u w:val="single"/>
    </w:rPr>
  </w:style>
  <w:style w:type="character" w:styleId="Collegamentovisitato">
    <w:name w:val="FollowedHyperlink"/>
    <w:basedOn w:val="Carpredefinitoparagrafo"/>
    <w:rPr>
      <w:color w:val="800080"/>
      <w:u w:val="single"/>
    </w:rPr>
  </w:style>
  <w:style w:type="paragraph" w:customStyle="1" w:styleId="Niveau10">
    <w:name w:val="Niveau 1.0"/>
    <w:basedOn w:val="Niveau11"/>
    <w:rPr>
      <w:sz w:val="48"/>
      <w:szCs w:val="48"/>
    </w:rPr>
  </w:style>
  <w:style w:type="paragraph" w:customStyle="1" w:styleId="Niveau13">
    <w:name w:val="Niveau 1.3"/>
    <w:basedOn w:val="Niveau12"/>
    <w:pPr>
      <w:ind w:left="0" w:firstLine="0"/>
      <w:jc w:val="center"/>
    </w:pPr>
    <w:rPr>
      <w:i w:val="0"/>
      <w:iCs w:val="0"/>
      <w:color w:val="800080"/>
      <w:sz w:val="48"/>
      <w:szCs w:val="48"/>
    </w:rPr>
  </w:style>
  <w:style w:type="paragraph" w:styleId="Testonotaapidipagina">
    <w:name w:val="footnote text"/>
    <w:basedOn w:val="Normale"/>
    <w:autoRedefine/>
    <w:semiHidden/>
    <w:rsid w:val="00FB35F7"/>
    <w:pPr>
      <w:ind w:left="360" w:hanging="360"/>
      <w:jc w:val="both"/>
    </w:pPr>
    <w:rPr>
      <w:rFonts w:ascii="Times New Roman" w:hAnsi="Times New Roman" w:cs="Times"/>
      <w:color w:val="000000"/>
      <w:sz w:val="20"/>
      <w:szCs w:val="20"/>
    </w:rPr>
  </w:style>
  <w:style w:type="character" w:styleId="Numeropagina">
    <w:name w:val="page number"/>
    <w:basedOn w:val="Carpredefinitoparagrafo"/>
  </w:style>
  <w:style w:type="paragraph" w:styleId="Pidipagina">
    <w:name w:val="footer"/>
    <w:basedOn w:val="Normale"/>
    <w:semiHidden/>
    <w:pPr>
      <w:tabs>
        <w:tab w:val="center" w:pos="4320"/>
        <w:tab w:val="right" w:pos="8640"/>
      </w:tabs>
    </w:pPr>
    <w:rPr>
      <w:rFonts w:ascii="GillSans" w:hAnsi="GillSans" w:cs="GillSans"/>
      <w:sz w:val="20"/>
      <w:szCs w:val="20"/>
    </w:rPr>
  </w:style>
  <w:style w:type="paragraph" w:styleId="Rientrocorpodeltesto2">
    <w:name w:val="Body Text Indent 2"/>
    <w:basedOn w:val="Normale"/>
    <w:pPr>
      <w:tabs>
        <w:tab w:val="left" w:pos="840"/>
        <w:tab w:val="right" w:pos="9360"/>
      </w:tabs>
      <w:ind w:left="20"/>
      <w:jc w:val="both"/>
    </w:pPr>
    <w:rPr>
      <w:rFonts w:ascii="Arial" w:hAnsi="Arial" w:cs="Arial"/>
    </w:rPr>
  </w:style>
  <w:style w:type="paragraph" w:styleId="Rientrocorpodeltesto3">
    <w:name w:val="Body Text Indent 3"/>
    <w:basedOn w:val="Normale"/>
    <w:pPr>
      <w:ind w:left="20" w:firstLine="380"/>
      <w:jc w:val="both"/>
    </w:pPr>
    <w:rPr>
      <w:rFonts w:ascii="Arial" w:hAnsi="Arial" w:cs="Arial"/>
    </w:rPr>
  </w:style>
  <w:style w:type="paragraph" w:customStyle="1" w:styleId="texteenvidence">
    <w:name w:val="texte en Žvidence"/>
    <w:basedOn w:val="Normale"/>
    <w:pPr>
      <w:widowControl w:val="0"/>
      <w:jc w:val="both"/>
    </w:pPr>
    <w:rPr>
      <w:rFonts w:ascii="Arial" w:hAnsi="Arial" w:cs="Arial"/>
      <w:b/>
      <w:bCs/>
      <w:color w:val="FF0000"/>
    </w:rPr>
  </w:style>
  <w:style w:type="paragraph" w:styleId="Titolo">
    <w:name w:val="Title"/>
    <w:basedOn w:val="Normale"/>
    <w:qFormat/>
    <w:pPr>
      <w:ind w:firstLine="0"/>
      <w:jc w:val="center"/>
    </w:pPr>
    <w:rPr>
      <w:rFonts w:ascii="B Times Bold" w:hAnsi="B Times Bold" w:cs="B Times Bold"/>
      <w:sz w:val="72"/>
      <w:szCs w:val="72"/>
    </w:rPr>
  </w:style>
  <w:style w:type="paragraph" w:customStyle="1" w:styleId="livre">
    <w:name w:val="livre"/>
    <w:basedOn w:val="Normale"/>
    <w:pPr>
      <w:tabs>
        <w:tab w:val="right" w:pos="9360"/>
      </w:tabs>
      <w:ind w:firstLine="0"/>
    </w:pPr>
    <w:rPr>
      <w:rFonts w:ascii="Times" w:hAnsi="Times" w:cs="Times"/>
      <w:b/>
      <w:bCs/>
      <w:color w:val="000080"/>
      <w:sz w:val="144"/>
      <w:szCs w:val="144"/>
    </w:rPr>
  </w:style>
  <w:style w:type="paragraph" w:customStyle="1" w:styleId="livrest">
    <w:name w:val="livre_st"/>
    <w:basedOn w:val="Normale"/>
    <w:pPr>
      <w:tabs>
        <w:tab w:val="right" w:pos="9360"/>
      </w:tabs>
      <w:ind w:firstLine="0"/>
    </w:pPr>
    <w:rPr>
      <w:rFonts w:ascii="Times" w:hAnsi="Times" w:cs="Times"/>
      <w:b/>
      <w:bCs/>
      <w:color w:val="FF0000"/>
      <w:sz w:val="72"/>
      <w:szCs w:val="72"/>
    </w:rPr>
  </w:style>
  <w:style w:type="paragraph" w:customStyle="1" w:styleId="tableautitre">
    <w:name w:val="tableau_titre"/>
    <w:basedOn w:val="Normale"/>
    <w:pPr>
      <w:ind w:firstLine="0"/>
      <w:jc w:val="center"/>
    </w:pPr>
    <w:rPr>
      <w:rFonts w:ascii="Times" w:hAnsi="Times" w:cs="Times"/>
      <w:b/>
      <w:bCs/>
    </w:rPr>
  </w:style>
  <w:style w:type="paragraph" w:customStyle="1" w:styleId="planche">
    <w:name w:val="planche"/>
    <w:basedOn w:val="tableautitre"/>
    <w:rPr>
      <w:sz w:val="36"/>
      <w:szCs w:val="36"/>
    </w:rPr>
  </w:style>
  <w:style w:type="paragraph" w:customStyle="1" w:styleId="tableaust">
    <w:name w:val="tableau_st"/>
    <w:basedOn w:val="Normale"/>
    <w:pPr>
      <w:ind w:firstLine="0"/>
      <w:jc w:val="center"/>
    </w:pPr>
    <w:rPr>
      <w:rFonts w:ascii="Times" w:hAnsi="Times" w:cs="Times"/>
      <w:i/>
      <w:iCs/>
      <w:color w:val="FF0000"/>
    </w:rPr>
  </w:style>
  <w:style w:type="paragraph" w:customStyle="1" w:styleId="planchest">
    <w:name w:val="planche_st"/>
    <w:basedOn w:val="tableaust"/>
    <w:rPr>
      <w:sz w:val="36"/>
      <w:szCs w:val="36"/>
    </w:rPr>
  </w:style>
  <w:style w:type="paragraph" w:customStyle="1" w:styleId="section">
    <w:name w:val="section"/>
    <w:basedOn w:val="Normale"/>
    <w:pPr>
      <w:ind w:firstLine="0"/>
      <w:jc w:val="center"/>
    </w:pPr>
    <w:rPr>
      <w:rFonts w:ascii="Times" w:hAnsi="Times" w:cs="Times"/>
      <w:b/>
      <w:bCs/>
      <w:sz w:val="48"/>
      <w:szCs w:val="48"/>
    </w:rPr>
  </w:style>
  <w:style w:type="paragraph" w:customStyle="1" w:styleId="suite">
    <w:name w:val="suite"/>
    <w:basedOn w:val="Normale"/>
    <w:pPr>
      <w:tabs>
        <w:tab w:val="right" w:pos="9360"/>
      </w:tabs>
      <w:ind w:firstLine="0"/>
      <w:jc w:val="center"/>
    </w:pPr>
    <w:rPr>
      <w:rFonts w:ascii="Times" w:hAnsi="Times" w:cs="Times"/>
      <w:b/>
      <w:bCs/>
      <w:sz w:val="28"/>
      <w:szCs w:val="28"/>
    </w:rPr>
  </w:style>
  <w:style w:type="paragraph" w:customStyle="1" w:styleId="tdmchap">
    <w:name w:val="tdm_chap"/>
    <w:basedOn w:val="Normale"/>
    <w:pPr>
      <w:tabs>
        <w:tab w:val="left" w:pos="1980"/>
      </w:tabs>
      <w:ind w:firstLine="0"/>
    </w:pPr>
    <w:rPr>
      <w:rFonts w:ascii="Times" w:hAnsi="Times" w:cs="Times"/>
      <w:b/>
      <w:bCs/>
    </w:rPr>
  </w:style>
  <w:style w:type="paragraph" w:styleId="Testofumetto">
    <w:name w:val="Balloon Text"/>
    <w:basedOn w:val="Normale"/>
    <w:link w:val="TestofumettoCarattere"/>
    <w:uiPriority w:val="99"/>
    <w:semiHidden/>
    <w:unhideWhenUsed/>
    <w:rsid w:val="00D456E4"/>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D456E4"/>
    <w:rPr>
      <w:sz w:val="18"/>
      <w:szCs w:val="18"/>
      <w:lang w:val="fr-CA" w:eastAsia="fr-F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classiques.uqac.c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ges.infinit.net/sociojm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bertrand.gibier@ac-lille.fr" TargetMode="External"/><Relationship Id="rId4" Type="http://schemas.openxmlformats.org/officeDocument/2006/relationships/webSettings" Target="webSettings.xml"/><Relationship Id="rId9" Type="http://schemas.openxmlformats.org/officeDocument/2006/relationships/hyperlink" Target="http://bibliotheque.uqac.ca/"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59360</Words>
  <Characters>338354</Characters>
  <Application>Microsoft Office Word</Application>
  <DocSecurity>0</DocSecurity>
  <Lines>2819</Lines>
  <Paragraphs>793</Paragraphs>
  <ScaleCrop>false</ScaleCrop>
  <HeadingPairs>
    <vt:vector size="2" baseType="variant">
      <vt:variant>
        <vt:lpstr>Title</vt:lpstr>
      </vt:variant>
      <vt:variant>
        <vt:i4>1</vt:i4>
      </vt:variant>
    </vt:vector>
  </HeadingPairs>
  <TitlesOfParts>
    <vt:vector size="1" baseType="lpstr">
      <vt:lpstr>Les formes élémentaires de la vie religieuse. Livre III.</vt:lpstr>
    </vt:vector>
  </TitlesOfParts>
  <Manager>Jean-Marie Tremblay, bénévole.</Manager>
  <Company>Revu et corrigé, ajout des mots grecs manquants par Bertrand Gibier, bénévole.</Company>
  <LinksUpToDate>false</LinksUpToDate>
  <CharactersWithSpaces>396921</CharactersWithSpaces>
  <SharedDoc>false</SharedDoc>
  <HyperlinkBase/>
  <HLinks>
    <vt:vector size="396" baseType="variant">
      <vt:variant>
        <vt:i4>1441894</vt:i4>
      </vt:variant>
      <vt:variant>
        <vt:i4>192</vt:i4>
      </vt:variant>
      <vt:variant>
        <vt:i4>0</vt:i4>
      </vt:variant>
      <vt:variant>
        <vt:i4>5</vt:i4>
      </vt:variant>
      <vt:variant>
        <vt:lpwstr/>
      </vt:variant>
      <vt:variant>
        <vt:lpwstr>tdm_livre_III</vt:lpwstr>
      </vt:variant>
      <vt:variant>
        <vt:i4>1441894</vt:i4>
      </vt:variant>
      <vt:variant>
        <vt:i4>189</vt:i4>
      </vt:variant>
      <vt:variant>
        <vt:i4>0</vt:i4>
      </vt:variant>
      <vt:variant>
        <vt:i4>5</vt:i4>
      </vt:variant>
      <vt:variant>
        <vt:lpwstr/>
      </vt:variant>
      <vt:variant>
        <vt:lpwstr>tdm_livre_III</vt:lpwstr>
      </vt:variant>
      <vt:variant>
        <vt:i4>1441894</vt:i4>
      </vt:variant>
      <vt:variant>
        <vt:i4>186</vt:i4>
      </vt:variant>
      <vt:variant>
        <vt:i4>0</vt:i4>
      </vt:variant>
      <vt:variant>
        <vt:i4>5</vt:i4>
      </vt:variant>
      <vt:variant>
        <vt:lpwstr/>
      </vt:variant>
      <vt:variant>
        <vt:lpwstr>tdm_livre_III</vt:lpwstr>
      </vt:variant>
      <vt:variant>
        <vt:i4>1441894</vt:i4>
      </vt:variant>
      <vt:variant>
        <vt:i4>183</vt:i4>
      </vt:variant>
      <vt:variant>
        <vt:i4>0</vt:i4>
      </vt:variant>
      <vt:variant>
        <vt:i4>5</vt:i4>
      </vt:variant>
      <vt:variant>
        <vt:lpwstr/>
      </vt:variant>
      <vt:variant>
        <vt:lpwstr>tdm_livre_III</vt:lpwstr>
      </vt:variant>
      <vt:variant>
        <vt:i4>1441894</vt:i4>
      </vt:variant>
      <vt:variant>
        <vt:i4>180</vt:i4>
      </vt:variant>
      <vt:variant>
        <vt:i4>0</vt:i4>
      </vt:variant>
      <vt:variant>
        <vt:i4>5</vt:i4>
      </vt:variant>
      <vt:variant>
        <vt:lpwstr/>
      </vt:variant>
      <vt:variant>
        <vt:lpwstr>tdm_livre_III</vt:lpwstr>
      </vt:variant>
      <vt:variant>
        <vt:i4>1441894</vt:i4>
      </vt:variant>
      <vt:variant>
        <vt:i4>177</vt:i4>
      </vt:variant>
      <vt:variant>
        <vt:i4>0</vt:i4>
      </vt:variant>
      <vt:variant>
        <vt:i4>5</vt:i4>
      </vt:variant>
      <vt:variant>
        <vt:lpwstr/>
      </vt:variant>
      <vt:variant>
        <vt:lpwstr>tdm_livre_III</vt:lpwstr>
      </vt:variant>
      <vt:variant>
        <vt:i4>1441894</vt:i4>
      </vt:variant>
      <vt:variant>
        <vt:i4>174</vt:i4>
      </vt:variant>
      <vt:variant>
        <vt:i4>0</vt:i4>
      </vt:variant>
      <vt:variant>
        <vt:i4>5</vt:i4>
      </vt:variant>
      <vt:variant>
        <vt:lpwstr/>
      </vt:variant>
      <vt:variant>
        <vt:lpwstr>tdm_livre_III</vt:lpwstr>
      </vt:variant>
      <vt:variant>
        <vt:i4>1441894</vt:i4>
      </vt:variant>
      <vt:variant>
        <vt:i4>171</vt:i4>
      </vt:variant>
      <vt:variant>
        <vt:i4>0</vt:i4>
      </vt:variant>
      <vt:variant>
        <vt:i4>5</vt:i4>
      </vt:variant>
      <vt:variant>
        <vt:lpwstr/>
      </vt:variant>
      <vt:variant>
        <vt:lpwstr>tdm_livre_III</vt:lpwstr>
      </vt:variant>
      <vt:variant>
        <vt:i4>1441894</vt:i4>
      </vt:variant>
      <vt:variant>
        <vt:i4>168</vt:i4>
      </vt:variant>
      <vt:variant>
        <vt:i4>0</vt:i4>
      </vt:variant>
      <vt:variant>
        <vt:i4>5</vt:i4>
      </vt:variant>
      <vt:variant>
        <vt:lpwstr/>
      </vt:variant>
      <vt:variant>
        <vt:lpwstr>tdm_livre_III</vt:lpwstr>
      </vt:variant>
      <vt:variant>
        <vt:i4>1441894</vt:i4>
      </vt:variant>
      <vt:variant>
        <vt:i4>165</vt:i4>
      </vt:variant>
      <vt:variant>
        <vt:i4>0</vt:i4>
      </vt:variant>
      <vt:variant>
        <vt:i4>5</vt:i4>
      </vt:variant>
      <vt:variant>
        <vt:lpwstr/>
      </vt:variant>
      <vt:variant>
        <vt:lpwstr>tdm_livre_III</vt:lpwstr>
      </vt:variant>
      <vt:variant>
        <vt:i4>1441894</vt:i4>
      </vt:variant>
      <vt:variant>
        <vt:i4>162</vt:i4>
      </vt:variant>
      <vt:variant>
        <vt:i4>0</vt:i4>
      </vt:variant>
      <vt:variant>
        <vt:i4>5</vt:i4>
      </vt:variant>
      <vt:variant>
        <vt:lpwstr/>
      </vt:variant>
      <vt:variant>
        <vt:lpwstr>tdm_livre_III</vt:lpwstr>
      </vt:variant>
      <vt:variant>
        <vt:i4>1441894</vt:i4>
      </vt:variant>
      <vt:variant>
        <vt:i4>159</vt:i4>
      </vt:variant>
      <vt:variant>
        <vt:i4>0</vt:i4>
      </vt:variant>
      <vt:variant>
        <vt:i4>5</vt:i4>
      </vt:variant>
      <vt:variant>
        <vt:lpwstr/>
      </vt:variant>
      <vt:variant>
        <vt:lpwstr>tdm_livre_III</vt:lpwstr>
      </vt:variant>
      <vt:variant>
        <vt:i4>1441894</vt:i4>
      </vt:variant>
      <vt:variant>
        <vt:i4>156</vt:i4>
      </vt:variant>
      <vt:variant>
        <vt:i4>0</vt:i4>
      </vt:variant>
      <vt:variant>
        <vt:i4>5</vt:i4>
      </vt:variant>
      <vt:variant>
        <vt:lpwstr/>
      </vt:variant>
      <vt:variant>
        <vt:lpwstr>tdm_livre_III</vt:lpwstr>
      </vt:variant>
      <vt:variant>
        <vt:i4>1441894</vt:i4>
      </vt:variant>
      <vt:variant>
        <vt:i4>153</vt:i4>
      </vt:variant>
      <vt:variant>
        <vt:i4>0</vt:i4>
      </vt:variant>
      <vt:variant>
        <vt:i4>5</vt:i4>
      </vt:variant>
      <vt:variant>
        <vt:lpwstr/>
      </vt:variant>
      <vt:variant>
        <vt:lpwstr>tdm_livre_III</vt:lpwstr>
      </vt:variant>
      <vt:variant>
        <vt:i4>1441894</vt:i4>
      </vt:variant>
      <vt:variant>
        <vt:i4>150</vt:i4>
      </vt:variant>
      <vt:variant>
        <vt:i4>0</vt:i4>
      </vt:variant>
      <vt:variant>
        <vt:i4>5</vt:i4>
      </vt:variant>
      <vt:variant>
        <vt:lpwstr/>
      </vt:variant>
      <vt:variant>
        <vt:lpwstr>tdm_livre_III</vt:lpwstr>
      </vt:variant>
      <vt:variant>
        <vt:i4>1441894</vt:i4>
      </vt:variant>
      <vt:variant>
        <vt:i4>147</vt:i4>
      </vt:variant>
      <vt:variant>
        <vt:i4>0</vt:i4>
      </vt:variant>
      <vt:variant>
        <vt:i4>5</vt:i4>
      </vt:variant>
      <vt:variant>
        <vt:lpwstr/>
      </vt:variant>
      <vt:variant>
        <vt:lpwstr>tdm_livre_III</vt:lpwstr>
      </vt:variant>
      <vt:variant>
        <vt:i4>1441894</vt:i4>
      </vt:variant>
      <vt:variant>
        <vt:i4>144</vt:i4>
      </vt:variant>
      <vt:variant>
        <vt:i4>0</vt:i4>
      </vt:variant>
      <vt:variant>
        <vt:i4>5</vt:i4>
      </vt:variant>
      <vt:variant>
        <vt:lpwstr/>
      </vt:variant>
      <vt:variant>
        <vt:lpwstr>tdm_livre_III</vt:lpwstr>
      </vt:variant>
      <vt:variant>
        <vt:i4>1441894</vt:i4>
      </vt:variant>
      <vt:variant>
        <vt:i4>141</vt:i4>
      </vt:variant>
      <vt:variant>
        <vt:i4>0</vt:i4>
      </vt:variant>
      <vt:variant>
        <vt:i4>5</vt:i4>
      </vt:variant>
      <vt:variant>
        <vt:lpwstr/>
      </vt:variant>
      <vt:variant>
        <vt:lpwstr>tdm_livre_III</vt:lpwstr>
      </vt:variant>
      <vt:variant>
        <vt:i4>1441894</vt:i4>
      </vt:variant>
      <vt:variant>
        <vt:i4>138</vt:i4>
      </vt:variant>
      <vt:variant>
        <vt:i4>0</vt:i4>
      </vt:variant>
      <vt:variant>
        <vt:i4>5</vt:i4>
      </vt:variant>
      <vt:variant>
        <vt:lpwstr/>
      </vt:variant>
      <vt:variant>
        <vt:lpwstr>tdm_livre_III</vt:lpwstr>
      </vt:variant>
      <vt:variant>
        <vt:i4>1441894</vt:i4>
      </vt:variant>
      <vt:variant>
        <vt:i4>135</vt:i4>
      </vt:variant>
      <vt:variant>
        <vt:i4>0</vt:i4>
      </vt:variant>
      <vt:variant>
        <vt:i4>5</vt:i4>
      </vt:variant>
      <vt:variant>
        <vt:lpwstr/>
      </vt:variant>
      <vt:variant>
        <vt:lpwstr>tdm_livre_III</vt:lpwstr>
      </vt:variant>
      <vt:variant>
        <vt:i4>1441894</vt:i4>
      </vt:variant>
      <vt:variant>
        <vt:i4>132</vt:i4>
      </vt:variant>
      <vt:variant>
        <vt:i4>0</vt:i4>
      </vt:variant>
      <vt:variant>
        <vt:i4>5</vt:i4>
      </vt:variant>
      <vt:variant>
        <vt:lpwstr/>
      </vt:variant>
      <vt:variant>
        <vt:lpwstr>tdm_livre_III</vt:lpwstr>
      </vt:variant>
      <vt:variant>
        <vt:i4>1441894</vt:i4>
      </vt:variant>
      <vt:variant>
        <vt:i4>129</vt:i4>
      </vt:variant>
      <vt:variant>
        <vt:i4>0</vt:i4>
      </vt:variant>
      <vt:variant>
        <vt:i4>5</vt:i4>
      </vt:variant>
      <vt:variant>
        <vt:lpwstr/>
      </vt:variant>
      <vt:variant>
        <vt:lpwstr>tdm_livre_III</vt:lpwstr>
      </vt:variant>
      <vt:variant>
        <vt:i4>1441894</vt:i4>
      </vt:variant>
      <vt:variant>
        <vt:i4>126</vt:i4>
      </vt:variant>
      <vt:variant>
        <vt:i4>0</vt:i4>
      </vt:variant>
      <vt:variant>
        <vt:i4>5</vt:i4>
      </vt:variant>
      <vt:variant>
        <vt:lpwstr/>
      </vt:variant>
      <vt:variant>
        <vt:lpwstr>tdm_livre_III</vt:lpwstr>
      </vt:variant>
      <vt:variant>
        <vt:i4>1441894</vt:i4>
      </vt:variant>
      <vt:variant>
        <vt:i4>123</vt:i4>
      </vt:variant>
      <vt:variant>
        <vt:i4>0</vt:i4>
      </vt:variant>
      <vt:variant>
        <vt:i4>5</vt:i4>
      </vt:variant>
      <vt:variant>
        <vt:lpwstr/>
      </vt:variant>
      <vt:variant>
        <vt:lpwstr>tdm_livre_III</vt:lpwstr>
      </vt:variant>
      <vt:variant>
        <vt:i4>1441894</vt:i4>
      </vt:variant>
      <vt:variant>
        <vt:i4>120</vt:i4>
      </vt:variant>
      <vt:variant>
        <vt:i4>0</vt:i4>
      </vt:variant>
      <vt:variant>
        <vt:i4>5</vt:i4>
      </vt:variant>
      <vt:variant>
        <vt:lpwstr/>
      </vt:variant>
      <vt:variant>
        <vt:lpwstr>tdm_livre_III</vt:lpwstr>
      </vt:variant>
      <vt:variant>
        <vt:i4>1441894</vt:i4>
      </vt:variant>
      <vt:variant>
        <vt:i4>117</vt:i4>
      </vt:variant>
      <vt:variant>
        <vt:i4>0</vt:i4>
      </vt:variant>
      <vt:variant>
        <vt:i4>5</vt:i4>
      </vt:variant>
      <vt:variant>
        <vt:lpwstr/>
      </vt:variant>
      <vt:variant>
        <vt:lpwstr>tdm_livre_III</vt:lpwstr>
      </vt:variant>
      <vt:variant>
        <vt:i4>1441894</vt:i4>
      </vt:variant>
      <vt:variant>
        <vt:i4>114</vt:i4>
      </vt:variant>
      <vt:variant>
        <vt:i4>0</vt:i4>
      </vt:variant>
      <vt:variant>
        <vt:i4>5</vt:i4>
      </vt:variant>
      <vt:variant>
        <vt:lpwstr/>
      </vt:variant>
      <vt:variant>
        <vt:lpwstr>tdm_livre_III</vt:lpwstr>
      </vt:variant>
      <vt:variant>
        <vt:i4>1441894</vt:i4>
      </vt:variant>
      <vt:variant>
        <vt:i4>111</vt:i4>
      </vt:variant>
      <vt:variant>
        <vt:i4>0</vt:i4>
      </vt:variant>
      <vt:variant>
        <vt:i4>5</vt:i4>
      </vt:variant>
      <vt:variant>
        <vt:lpwstr/>
      </vt:variant>
      <vt:variant>
        <vt:lpwstr>tdm_livre_III</vt:lpwstr>
      </vt:variant>
      <vt:variant>
        <vt:i4>1441894</vt:i4>
      </vt:variant>
      <vt:variant>
        <vt:i4>108</vt:i4>
      </vt:variant>
      <vt:variant>
        <vt:i4>0</vt:i4>
      </vt:variant>
      <vt:variant>
        <vt:i4>5</vt:i4>
      </vt:variant>
      <vt:variant>
        <vt:lpwstr/>
      </vt:variant>
      <vt:variant>
        <vt:lpwstr>tdm_livre_III</vt:lpwstr>
      </vt:variant>
      <vt:variant>
        <vt:i4>4849698</vt:i4>
      </vt:variant>
      <vt:variant>
        <vt:i4>105</vt:i4>
      </vt:variant>
      <vt:variant>
        <vt:i4>0</vt:i4>
      </vt:variant>
      <vt:variant>
        <vt:i4>5</vt:i4>
      </vt:variant>
      <vt:variant>
        <vt:lpwstr/>
      </vt:variant>
      <vt:variant>
        <vt:lpwstr>conclusion_4</vt:lpwstr>
      </vt:variant>
      <vt:variant>
        <vt:i4>5046306</vt:i4>
      </vt:variant>
      <vt:variant>
        <vt:i4>102</vt:i4>
      </vt:variant>
      <vt:variant>
        <vt:i4>0</vt:i4>
      </vt:variant>
      <vt:variant>
        <vt:i4>5</vt:i4>
      </vt:variant>
      <vt:variant>
        <vt:lpwstr/>
      </vt:variant>
      <vt:variant>
        <vt:lpwstr>conclusion_3</vt:lpwstr>
      </vt:variant>
      <vt:variant>
        <vt:i4>4980770</vt:i4>
      </vt:variant>
      <vt:variant>
        <vt:i4>99</vt:i4>
      </vt:variant>
      <vt:variant>
        <vt:i4>0</vt:i4>
      </vt:variant>
      <vt:variant>
        <vt:i4>5</vt:i4>
      </vt:variant>
      <vt:variant>
        <vt:lpwstr/>
      </vt:variant>
      <vt:variant>
        <vt:lpwstr>conclusion_2</vt:lpwstr>
      </vt:variant>
      <vt:variant>
        <vt:i4>5177378</vt:i4>
      </vt:variant>
      <vt:variant>
        <vt:i4>96</vt:i4>
      </vt:variant>
      <vt:variant>
        <vt:i4>0</vt:i4>
      </vt:variant>
      <vt:variant>
        <vt:i4>5</vt:i4>
      </vt:variant>
      <vt:variant>
        <vt:lpwstr/>
      </vt:variant>
      <vt:variant>
        <vt:lpwstr>conclusion_1</vt:lpwstr>
      </vt:variant>
      <vt:variant>
        <vt:i4>8257661</vt:i4>
      </vt:variant>
      <vt:variant>
        <vt:i4>93</vt:i4>
      </vt:variant>
      <vt:variant>
        <vt:i4>0</vt:i4>
      </vt:variant>
      <vt:variant>
        <vt:i4>5</vt:i4>
      </vt:variant>
      <vt:variant>
        <vt:lpwstr/>
      </vt:variant>
      <vt:variant>
        <vt:lpwstr>conclusion</vt:lpwstr>
      </vt:variant>
      <vt:variant>
        <vt:i4>131150</vt:i4>
      </vt:variant>
      <vt:variant>
        <vt:i4>90</vt:i4>
      </vt:variant>
      <vt:variant>
        <vt:i4>0</vt:i4>
      </vt:variant>
      <vt:variant>
        <vt:i4>5</vt:i4>
      </vt:variant>
      <vt:variant>
        <vt:lpwstr/>
      </vt:variant>
      <vt:variant>
        <vt:lpwstr>livre_3_chap_5_4</vt:lpwstr>
      </vt:variant>
      <vt:variant>
        <vt:i4>327758</vt:i4>
      </vt:variant>
      <vt:variant>
        <vt:i4>87</vt:i4>
      </vt:variant>
      <vt:variant>
        <vt:i4>0</vt:i4>
      </vt:variant>
      <vt:variant>
        <vt:i4>5</vt:i4>
      </vt:variant>
      <vt:variant>
        <vt:lpwstr/>
      </vt:variant>
      <vt:variant>
        <vt:lpwstr>livre_3_chap_5_3</vt:lpwstr>
      </vt:variant>
      <vt:variant>
        <vt:i4>262222</vt:i4>
      </vt:variant>
      <vt:variant>
        <vt:i4>84</vt:i4>
      </vt:variant>
      <vt:variant>
        <vt:i4>0</vt:i4>
      </vt:variant>
      <vt:variant>
        <vt:i4>5</vt:i4>
      </vt:variant>
      <vt:variant>
        <vt:lpwstr/>
      </vt:variant>
      <vt:variant>
        <vt:lpwstr>livre_3_chap_5_2</vt:lpwstr>
      </vt:variant>
      <vt:variant>
        <vt:i4>458830</vt:i4>
      </vt:variant>
      <vt:variant>
        <vt:i4>81</vt:i4>
      </vt:variant>
      <vt:variant>
        <vt:i4>0</vt:i4>
      </vt:variant>
      <vt:variant>
        <vt:i4>5</vt:i4>
      </vt:variant>
      <vt:variant>
        <vt:lpwstr/>
      </vt:variant>
      <vt:variant>
        <vt:lpwstr>livre_3_chap_5_1</vt:lpwstr>
      </vt:variant>
      <vt:variant>
        <vt:i4>3538961</vt:i4>
      </vt:variant>
      <vt:variant>
        <vt:i4>78</vt:i4>
      </vt:variant>
      <vt:variant>
        <vt:i4>0</vt:i4>
      </vt:variant>
      <vt:variant>
        <vt:i4>5</vt:i4>
      </vt:variant>
      <vt:variant>
        <vt:lpwstr/>
      </vt:variant>
      <vt:variant>
        <vt:lpwstr>livre_3_chap_5</vt:lpwstr>
      </vt:variant>
      <vt:variant>
        <vt:i4>262222</vt:i4>
      </vt:variant>
      <vt:variant>
        <vt:i4>75</vt:i4>
      </vt:variant>
      <vt:variant>
        <vt:i4>0</vt:i4>
      </vt:variant>
      <vt:variant>
        <vt:i4>5</vt:i4>
      </vt:variant>
      <vt:variant>
        <vt:lpwstr/>
      </vt:variant>
      <vt:variant>
        <vt:lpwstr>livre_3_chap_4_3</vt:lpwstr>
      </vt:variant>
      <vt:variant>
        <vt:i4>327758</vt:i4>
      </vt:variant>
      <vt:variant>
        <vt:i4>72</vt:i4>
      </vt:variant>
      <vt:variant>
        <vt:i4>0</vt:i4>
      </vt:variant>
      <vt:variant>
        <vt:i4>5</vt:i4>
      </vt:variant>
      <vt:variant>
        <vt:lpwstr/>
      </vt:variant>
      <vt:variant>
        <vt:lpwstr>livre_3_chap_4_2</vt:lpwstr>
      </vt:variant>
      <vt:variant>
        <vt:i4>393294</vt:i4>
      </vt:variant>
      <vt:variant>
        <vt:i4>69</vt:i4>
      </vt:variant>
      <vt:variant>
        <vt:i4>0</vt:i4>
      </vt:variant>
      <vt:variant>
        <vt:i4>5</vt:i4>
      </vt:variant>
      <vt:variant>
        <vt:lpwstr/>
      </vt:variant>
      <vt:variant>
        <vt:lpwstr>livre_3_chap_4_1</vt:lpwstr>
      </vt:variant>
      <vt:variant>
        <vt:i4>3604497</vt:i4>
      </vt:variant>
      <vt:variant>
        <vt:i4>66</vt:i4>
      </vt:variant>
      <vt:variant>
        <vt:i4>0</vt:i4>
      </vt:variant>
      <vt:variant>
        <vt:i4>5</vt:i4>
      </vt:variant>
      <vt:variant>
        <vt:lpwstr/>
      </vt:variant>
      <vt:variant>
        <vt:lpwstr>livre_3_chap_4</vt:lpwstr>
      </vt:variant>
      <vt:variant>
        <vt:i4>196686</vt:i4>
      </vt:variant>
      <vt:variant>
        <vt:i4>63</vt:i4>
      </vt:variant>
      <vt:variant>
        <vt:i4>0</vt:i4>
      </vt:variant>
      <vt:variant>
        <vt:i4>5</vt:i4>
      </vt:variant>
      <vt:variant>
        <vt:lpwstr/>
      </vt:variant>
      <vt:variant>
        <vt:lpwstr>livre_3_chap_3_3</vt:lpwstr>
      </vt:variant>
      <vt:variant>
        <vt:i4>131150</vt:i4>
      </vt:variant>
      <vt:variant>
        <vt:i4>60</vt:i4>
      </vt:variant>
      <vt:variant>
        <vt:i4>0</vt:i4>
      </vt:variant>
      <vt:variant>
        <vt:i4>5</vt:i4>
      </vt:variant>
      <vt:variant>
        <vt:lpwstr/>
      </vt:variant>
      <vt:variant>
        <vt:lpwstr>livre_3_chap_3_2</vt:lpwstr>
      </vt:variant>
      <vt:variant>
        <vt:i4>65614</vt:i4>
      </vt:variant>
      <vt:variant>
        <vt:i4>57</vt:i4>
      </vt:variant>
      <vt:variant>
        <vt:i4>0</vt:i4>
      </vt:variant>
      <vt:variant>
        <vt:i4>5</vt:i4>
      </vt:variant>
      <vt:variant>
        <vt:lpwstr/>
      </vt:variant>
      <vt:variant>
        <vt:lpwstr>livre_3_chap_3_1</vt:lpwstr>
      </vt:variant>
      <vt:variant>
        <vt:i4>3145745</vt:i4>
      </vt:variant>
      <vt:variant>
        <vt:i4>54</vt:i4>
      </vt:variant>
      <vt:variant>
        <vt:i4>0</vt:i4>
      </vt:variant>
      <vt:variant>
        <vt:i4>5</vt:i4>
      </vt:variant>
      <vt:variant>
        <vt:lpwstr/>
      </vt:variant>
      <vt:variant>
        <vt:lpwstr>livre_3_chap_3</vt:lpwstr>
      </vt:variant>
      <vt:variant>
        <vt:i4>262222</vt:i4>
      </vt:variant>
      <vt:variant>
        <vt:i4>51</vt:i4>
      </vt:variant>
      <vt:variant>
        <vt:i4>0</vt:i4>
      </vt:variant>
      <vt:variant>
        <vt:i4>5</vt:i4>
      </vt:variant>
      <vt:variant>
        <vt:lpwstr/>
      </vt:variant>
      <vt:variant>
        <vt:lpwstr>livre_3_chap_2_5</vt:lpwstr>
      </vt:variant>
      <vt:variant>
        <vt:i4>327758</vt:i4>
      </vt:variant>
      <vt:variant>
        <vt:i4>48</vt:i4>
      </vt:variant>
      <vt:variant>
        <vt:i4>0</vt:i4>
      </vt:variant>
      <vt:variant>
        <vt:i4>5</vt:i4>
      </vt:variant>
      <vt:variant>
        <vt:lpwstr/>
      </vt:variant>
      <vt:variant>
        <vt:lpwstr>livre_3_chap_2_4</vt:lpwstr>
      </vt:variant>
      <vt:variant>
        <vt:i4>131150</vt:i4>
      </vt:variant>
      <vt:variant>
        <vt:i4>45</vt:i4>
      </vt:variant>
      <vt:variant>
        <vt:i4>0</vt:i4>
      </vt:variant>
      <vt:variant>
        <vt:i4>5</vt:i4>
      </vt:variant>
      <vt:variant>
        <vt:lpwstr/>
      </vt:variant>
      <vt:variant>
        <vt:lpwstr>livre_3_chap_2_3</vt:lpwstr>
      </vt:variant>
      <vt:variant>
        <vt:i4>196686</vt:i4>
      </vt:variant>
      <vt:variant>
        <vt:i4>42</vt:i4>
      </vt:variant>
      <vt:variant>
        <vt:i4>0</vt:i4>
      </vt:variant>
      <vt:variant>
        <vt:i4>5</vt:i4>
      </vt:variant>
      <vt:variant>
        <vt:lpwstr/>
      </vt:variant>
      <vt:variant>
        <vt:lpwstr>livre_3_chap_2_2</vt:lpwstr>
      </vt:variant>
      <vt:variant>
        <vt:i4>78</vt:i4>
      </vt:variant>
      <vt:variant>
        <vt:i4>39</vt:i4>
      </vt:variant>
      <vt:variant>
        <vt:i4>0</vt:i4>
      </vt:variant>
      <vt:variant>
        <vt:i4>5</vt:i4>
      </vt:variant>
      <vt:variant>
        <vt:lpwstr/>
      </vt:variant>
      <vt:variant>
        <vt:lpwstr>livre_3_chap_2_1</vt:lpwstr>
      </vt:variant>
      <vt:variant>
        <vt:i4>3211281</vt:i4>
      </vt:variant>
      <vt:variant>
        <vt:i4>36</vt:i4>
      </vt:variant>
      <vt:variant>
        <vt:i4>0</vt:i4>
      </vt:variant>
      <vt:variant>
        <vt:i4>5</vt:i4>
      </vt:variant>
      <vt:variant>
        <vt:lpwstr/>
      </vt:variant>
      <vt:variant>
        <vt:lpwstr>livre_3_chap_2</vt:lpwstr>
      </vt:variant>
      <vt:variant>
        <vt:i4>3211281</vt:i4>
      </vt:variant>
      <vt:variant>
        <vt:i4>33</vt:i4>
      </vt:variant>
      <vt:variant>
        <vt:i4>0</vt:i4>
      </vt:variant>
      <vt:variant>
        <vt:i4>5</vt:i4>
      </vt:variant>
      <vt:variant>
        <vt:lpwstr/>
      </vt:variant>
      <vt:variant>
        <vt:lpwstr>livre_3_chap_2</vt:lpwstr>
      </vt:variant>
      <vt:variant>
        <vt:i4>393294</vt:i4>
      </vt:variant>
      <vt:variant>
        <vt:i4>30</vt:i4>
      </vt:variant>
      <vt:variant>
        <vt:i4>0</vt:i4>
      </vt:variant>
      <vt:variant>
        <vt:i4>5</vt:i4>
      </vt:variant>
      <vt:variant>
        <vt:lpwstr/>
      </vt:variant>
      <vt:variant>
        <vt:lpwstr>livre_3_chap_1_4</vt:lpwstr>
      </vt:variant>
      <vt:variant>
        <vt:i4>65614</vt:i4>
      </vt:variant>
      <vt:variant>
        <vt:i4>27</vt:i4>
      </vt:variant>
      <vt:variant>
        <vt:i4>0</vt:i4>
      </vt:variant>
      <vt:variant>
        <vt:i4>5</vt:i4>
      </vt:variant>
      <vt:variant>
        <vt:lpwstr/>
      </vt:variant>
      <vt:variant>
        <vt:lpwstr>livre_3_chap_1_3</vt:lpwstr>
      </vt:variant>
      <vt:variant>
        <vt:i4>78</vt:i4>
      </vt:variant>
      <vt:variant>
        <vt:i4>24</vt:i4>
      </vt:variant>
      <vt:variant>
        <vt:i4>0</vt:i4>
      </vt:variant>
      <vt:variant>
        <vt:i4>5</vt:i4>
      </vt:variant>
      <vt:variant>
        <vt:lpwstr/>
      </vt:variant>
      <vt:variant>
        <vt:lpwstr>livre_3_chap_1_2</vt:lpwstr>
      </vt:variant>
      <vt:variant>
        <vt:i4>196686</vt:i4>
      </vt:variant>
      <vt:variant>
        <vt:i4>21</vt:i4>
      </vt:variant>
      <vt:variant>
        <vt:i4>0</vt:i4>
      </vt:variant>
      <vt:variant>
        <vt:i4>5</vt:i4>
      </vt:variant>
      <vt:variant>
        <vt:lpwstr/>
      </vt:variant>
      <vt:variant>
        <vt:lpwstr>livre_3_chap_1_1</vt:lpwstr>
      </vt:variant>
      <vt:variant>
        <vt:i4>3276817</vt:i4>
      </vt:variant>
      <vt:variant>
        <vt:i4>18</vt:i4>
      </vt:variant>
      <vt:variant>
        <vt:i4>0</vt:i4>
      </vt:variant>
      <vt:variant>
        <vt:i4>5</vt:i4>
      </vt:variant>
      <vt:variant>
        <vt:lpwstr/>
      </vt:variant>
      <vt:variant>
        <vt:lpwstr>livre_3_chap_1</vt:lpwstr>
      </vt:variant>
      <vt:variant>
        <vt:i4>4456524</vt:i4>
      </vt:variant>
      <vt:variant>
        <vt:i4>15</vt:i4>
      </vt:variant>
      <vt:variant>
        <vt:i4>0</vt:i4>
      </vt:variant>
      <vt:variant>
        <vt:i4>5</vt:i4>
      </vt:variant>
      <vt:variant>
        <vt:lpwstr/>
      </vt:variant>
      <vt:variant>
        <vt:lpwstr>livre_3</vt:lpwstr>
      </vt:variant>
      <vt:variant>
        <vt:i4>1441894</vt:i4>
      </vt:variant>
      <vt:variant>
        <vt:i4>12</vt:i4>
      </vt:variant>
      <vt:variant>
        <vt:i4>0</vt:i4>
      </vt:variant>
      <vt:variant>
        <vt:i4>5</vt:i4>
      </vt:variant>
      <vt:variant>
        <vt:lpwstr/>
      </vt:variant>
      <vt:variant>
        <vt:lpwstr>tdm_livre_III</vt:lpwstr>
      </vt:variant>
      <vt:variant>
        <vt:i4>2555934</vt:i4>
      </vt:variant>
      <vt:variant>
        <vt:i4>9</vt:i4>
      </vt:variant>
      <vt:variant>
        <vt:i4>0</vt:i4>
      </vt:variant>
      <vt:variant>
        <vt:i4>5</vt:i4>
      </vt:variant>
      <vt:variant>
        <vt:lpwstr>mailto:bertrand.gibier@ac-lille.fr</vt:lpwstr>
      </vt:variant>
      <vt:variant>
        <vt:lpwstr/>
      </vt:variant>
      <vt:variant>
        <vt:i4>5636164</vt:i4>
      </vt:variant>
      <vt:variant>
        <vt:i4>6</vt:i4>
      </vt:variant>
      <vt:variant>
        <vt:i4>0</vt:i4>
      </vt:variant>
      <vt:variant>
        <vt:i4>5</vt:i4>
      </vt:variant>
      <vt:variant>
        <vt:lpwstr>http://bibliotheque.uqac.ca/</vt:lpwstr>
      </vt:variant>
      <vt:variant>
        <vt:lpwstr/>
      </vt:variant>
      <vt:variant>
        <vt:i4>4063266</vt:i4>
      </vt:variant>
      <vt:variant>
        <vt:i4>3</vt:i4>
      </vt:variant>
      <vt:variant>
        <vt:i4>0</vt:i4>
      </vt:variant>
      <vt:variant>
        <vt:i4>5</vt:i4>
      </vt:variant>
      <vt:variant>
        <vt:lpwstr>http://classiques.uqac.ca/</vt:lpwstr>
      </vt:variant>
      <vt:variant>
        <vt:lpwstr/>
      </vt:variant>
      <vt:variant>
        <vt:i4>5374001</vt:i4>
      </vt:variant>
      <vt:variant>
        <vt:i4>0</vt:i4>
      </vt:variant>
      <vt:variant>
        <vt:i4>0</vt:i4>
      </vt:variant>
      <vt:variant>
        <vt:i4>5</vt:i4>
      </vt:variant>
      <vt:variant>
        <vt:lpwstr>http://pages.infinit.net/sociojmt</vt:lpwstr>
      </vt:variant>
      <vt:variant>
        <vt:lpwstr/>
      </vt:variant>
      <vt:variant>
        <vt:i4>1703963</vt:i4>
      </vt:variant>
      <vt:variant>
        <vt:i4>5493</vt:i4>
      </vt:variant>
      <vt:variant>
        <vt:i4>1025</vt:i4>
      </vt:variant>
      <vt:variant>
        <vt:i4>1</vt:i4>
      </vt:variant>
      <vt:variant>
        <vt:lpwstr>fait_sur_mac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formes élémentaires de la vie religieuse. Livre III.</dc:title>
  <dc:subject>sociologie de la religion</dc:subject>
  <dc:creator>Émile Durkheim</dc:creator>
  <cp:keywords>Les Classiques des sciences sociales.</cp:keywords>
  <dc:description>http://classiques.uqac.ca/</dc:description>
  <cp:lastModifiedBy>Microsoft Office User</cp:lastModifiedBy>
  <cp:revision>2</cp:revision>
  <dcterms:created xsi:type="dcterms:W3CDTF">2019-05-22T06:26:00Z</dcterms:created>
  <dcterms:modified xsi:type="dcterms:W3CDTF">2019-05-22T06:26:00Z</dcterms:modified>
  <cp:category/>
</cp:coreProperties>
</file>